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52" w:type="dxa"/>
        <w:tblInd w:w="103" w:type="dxa"/>
        <w:tblLayout w:type="fixed"/>
        <w:tblLook w:val="04A0" w:firstRow="1" w:lastRow="0" w:firstColumn="1" w:lastColumn="0" w:noHBand="0" w:noVBand="1"/>
      </w:tblPr>
      <w:tblGrid>
        <w:gridCol w:w="1442"/>
        <w:gridCol w:w="123"/>
        <w:gridCol w:w="992"/>
        <w:gridCol w:w="283"/>
        <w:gridCol w:w="44"/>
        <w:gridCol w:w="1442"/>
        <w:gridCol w:w="357"/>
        <w:gridCol w:w="142"/>
        <w:gridCol w:w="709"/>
        <w:gridCol w:w="708"/>
        <w:gridCol w:w="284"/>
        <w:gridCol w:w="1134"/>
        <w:gridCol w:w="992"/>
      </w:tblGrid>
      <w:tr w:rsidR="00976DD8" w:rsidRPr="00535A79" w14:paraId="1845F605" w14:textId="77777777" w:rsidTr="00CD26C1">
        <w:trPr>
          <w:trHeight w:val="285"/>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56E2" w14:textId="77777777" w:rsidR="00976DD8" w:rsidRPr="00535A79" w:rsidRDefault="00976DD8" w:rsidP="00E7332D">
            <w:pPr>
              <w:widowControl/>
              <w:jc w:val="center"/>
              <w:rPr>
                <w:rFonts w:ascii="黑体" w:eastAsia="黑体" w:hAnsi="黑体" w:cs="宋体"/>
                <w:b/>
                <w:bCs/>
                <w:color w:val="000000"/>
                <w:kern w:val="0"/>
                <w:szCs w:val="21"/>
              </w:rPr>
            </w:pPr>
            <w:r w:rsidRPr="00535A79">
              <w:rPr>
                <w:rFonts w:ascii="黑体" w:eastAsia="黑体" w:hAnsi="黑体" w:cs="宋体" w:hint="eastAsia"/>
                <w:b/>
                <w:bCs/>
                <w:color w:val="000000"/>
                <w:kern w:val="0"/>
                <w:szCs w:val="21"/>
              </w:rPr>
              <w:t>“</w:t>
            </w:r>
            <w:r w:rsidR="0070399A" w:rsidRPr="00535A79">
              <w:rPr>
                <w:rFonts w:ascii="黑体" w:eastAsia="黑体" w:hAnsi="黑体" w:cs="Calibri" w:hint="eastAsia"/>
                <w:b/>
                <w:bCs/>
                <w:color w:val="000000"/>
                <w:kern w:val="0"/>
                <w:szCs w:val="21"/>
              </w:rPr>
              <w:t>钱潮系列1号22015期</w:t>
            </w:r>
            <w:r w:rsidRPr="00535A79">
              <w:rPr>
                <w:rFonts w:ascii="黑体" w:eastAsia="黑体" w:hAnsi="黑体" w:cs="宋体" w:hint="eastAsia"/>
                <w:b/>
                <w:bCs/>
                <w:color w:val="000000"/>
                <w:kern w:val="0"/>
                <w:szCs w:val="21"/>
              </w:rPr>
              <w:t>”产品运行公告（季</w:t>
            </w:r>
            <w:r w:rsidR="00E7332D" w:rsidRPr="00535A79">
              <w:rPr>
                <w:rFonts w:ascii="黑体" w:eastAsia="黑体" w:hAnsi="黑体" w:cs="宋体" w:hint="eastAsia"/>
                <w:b/>
                <w:bCs/>
                <w:color w:val="000000"/>
                <w:kern w:val="0"/>
                <w:szCs w:val="21"/>
              </w:rPr>
              <w:t>报</w:t>
            </w:r>
            <w:r w:rsidRPr="00535A79">
              <w:rPr>
                <w:rFonts w:ascii="黑体" w:eastAsia="黑体" w:hAnsi="黑体" w:cs="宋体" w:hint="eastAsia"/>
                <w:b/>
                <w:bCs/>
                <w:color w:val="000000"/>
                <w:kern w:val="0"/>
                <w:szCs w:val="21"/>
              </w:rPr>
              <w:t>）</w:t>
            </w:r>
          </w:p>
        </w:tc>
      </w:tr>
      <w:tr w:rsidR="00976DD8" w:rsidRPr="00535A79" w14:paraId="2D6AFDFD"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EFBD018"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1、理财产品概况</w:t>
            </w:r>
          </w:p>
        </w:tc>
      </w:tr>
      <w:tr w:rsidR="00976DD8" w:rsidRPr="00535A79" w14:paraId="59F1E406" w14:textId="77777777" w:rsidTr="00AD56AD">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A182"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产品名称</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A6E6D1" w14:textId="77777777" w:rsidR="00976DD8" w:rsidRPr="00535A79" w:rsidRDefault="0070399A" w:rsidP="004B1861">
            <w:pPr>
              <w:widowControl/>
              <w:jc w:val="left"/>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r>
              <w:rPr>
                <w:rFonts w:ascii="黑体" w:hAnsi="黑体" w:cs="黑体" w:eastAsia="黑体"/>
                <w:color w:val="000000"/>
                <w:sz w:val="18"/>
              </w:rPr>
              <w:t>钱潮系列1号22015期</w:t>
            </w:r>
          </w:p>
        </w:tc>
      </w:tr>
      <w:tr w:rsidR="00976DD8" w:rsidRPr="00535A79" w14:paraId="6FFA18AD"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9D0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产品代码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2545F8"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CC22015</w:t>
            </w:r>
          </w:p>
        </w:tc>
      </w:tr>
      <w:tr w:rsidR="00976DD8" w:rsidRPr="00535A79" w14:paraId="004F06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1A00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产品登记编码</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5B51E0F"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C1092922000015</w:t>
            </w:r>
          </w:p>
        </w:tc>
      </w:tr>
      <w:tr w:rsidR="00976DD8" w:rsidRPr="00535A79" w14:paraId="2A79D9B2"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9F44"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币种</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CABEB9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人民币(CNY)</w:t>
            </w:r>
          </w:p>
        </w:tc>
      </w:tr>
      <w:tr w:rsidR="00976DD8" w:rsidRPr="00535A79" w14:paraId="22578C14"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535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产品成立日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B06E3A3"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2022-02-15</w:t>
            </w:r>
          </w:p>
        </w:tc>
      </w:tr>
      <w:tr w:rsidR="00976DD8" w:rsidRPr="00535A79" w14:paraId="4413EAA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5A705"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产品到期日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50536CB"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2022-08-18</w:t>
            </w:r>
          </w:p>
        </w:tc>
      </w:tr>
      <w:tr w:rsidR="00E7332D" w:rsidRPr="00535A79" w14:paraId="07055098"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CF702" w14:textId="42161919"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存续规模</w:t>
            </w:r>
            <w:r w:rsidR="00CD26C1">
              <w:rPr>
                <w:rFonts w:ascii="黑体" w:eastAsia="黑体" w:hAnsi="黑体" w:cs="宋体" w:hint="eastAsia"/>
                <w:color w:val="000000"/>
                <w:kern w:val="0"/>
                <w:sz w:val="18"/>
                <w:szCs w:val="18"/>
              </w:rPr>
              <w:t>（份）</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13CDD5F"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95000000.00</w:t>
            </w:r>
          </w:p>
        </w:tc>
      </w:tr>
      <w:tr w:rsidR="00E7332D" w:rsidRPr="00535A79" w14:paraId="713AB069"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8AD7" w14:textId="77777777"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报告日</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A686013"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2022-03-31</w:t>
            </w:r>
          </w:p>
        </w:tc>
      </w:tr>
      <w:tr w:rsidR="00E7332D" w:rsidRPr="00535A79" w14:paraId="43A2596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A17B" w14:textId="38A01BD6" w:rsidR="00E7332D" w:rsidRPr="00535A79" w:rsidRDefault="00E7332D"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业绩比较基准</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D5D6E8" w14:textId="77777777" w:rsidR="00E7332D" w:rsidRPr="00535A79" w:rsidRDefault="00E7332D"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3.75%</w:t>
            </w:r>
          </w:p>
        </w:tc>
      </w:tr>
      <w:tr w:rsidR="00EE46F2" w:rsidRPr="00535A79" w14:paraId="6B22F8E7"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6797" w14:textId="4D50591F"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28BE0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1.00462329</w:t>
            </w:r>
          </w:p>
        </w:tc>
      </w:tr>
      <w:tr w:rsidR="00EE46F2" w:rsidRPr="00535A79" w14:paraId="72BA1195"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3B3B9" w14:textId="5AC6AE6C"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份额累计净值</w:t>
            </w:r>
            <w:r w:rsidR="00CD26C1">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04029927"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1.00462329</w:t>
            </w:r>
          </w:p>
        </w:tc>
      </w:tr>
      <w:tr w:rsidR="00EE46F2" w:rsidRPr="00535A79" w14:paraId="0A67ADF1"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659B" w14:textId="033617A9" w:rsidR="00EE46F2" w:rsidRPr="00535A79" w:rsidRDefault="00EE46F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资产净值</w:t>
            </w:r>
            <w:r w:rsidR="009A1C62">
              <w:rPr>
                <w:rFonts w:ascii="黑体" w:eastAsia="黑体" w:hAnsi="黑体" w:cs="宋体" w:hint="eastAsia"/>
                <w:color w:val="000000"/>
                <w:kern w:val="0"/>
                <w:sz w:val="18"/>
                <w:szCs w:val="18"/>
              </w:rPr>
              <w:t>（元）</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52E3DB7A" w14:textId="77777777" w:rsidR="00EE46F2" w:rsidRPr="00535A79" w:rsidRDefault="00EE46F2"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95439212.33</w:t>
            </w:r>
          </w:p>
        </w:tc>
      </w:tr>
      <w:tr w:rsidR="00976DD8" w:rsidRPr="00535A79" w14:paraId="6F9540AE"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8A921"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募集方式</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3CD21C5"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公募</w:t>
            </w:r>
          </w:p>
        </w:tc>
      </w:tr>
      <w:tr w:rsidR="00976DD8" w:rsidRPr="00535A79" w14:paraId="79B55E9B"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F434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投资性质</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F25D6FC"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固定收益类</w:t>
            </w:r>
          </w:p>
        </w:tc>
      </w:tr>
      <w:tr w:rsidR="00976DD8" w:rsidRPr="00535A79" w14:paraId="6A8AB51F"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FB5113"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产品流动性</w:t>
            </w:r>
          </w:p>
        </w:tc>
        <w:tc>
          <w:tcPr>
            <w:tcW w:w="581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D622DFA"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封闭式</w:t>
            </w:r>
          </w:p>
        </w:tc>
      </w:tr>
      <w:tr w:rsidR="00976DD8" w:rsidRPr="00535A79" w14:paraId="7A5582EC" w14:textId="77777777" w:rsidTr="00174F1C">
        <w:trPr>
          <w:trHeight w:val="270"/>
        </w:trPr>
        <w:tc>
          <w:tcPr>
            <w:tcW w:w="2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5647"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理财资产托管人</w:t>
            </w:r>
          </w:p>
        </w:tc>
        <w:tc>
          <w:tcPr>
            <w:tcW w:w="5812"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21D0D7" w14:textId="77777777" w:rsidR="00976DD8" w:rsidRPr="00535A79" w:rsidRDefault="00976DD8" w:rsidP="004B1861">
            <w:pPr>
              <w:widowControl/>
              <w:jc w:val="left"/>
              <w:rPr>
                <w:rFonts w:ascii="黑体" w:eastAsia="黑体" w:hAnsi="黑体" w:cs="宋体"/>
                <w:color w:val="000000"/>
                <w:kern w:val="0"/>
                <w:sz w:val="18"/>
                <w:szCs w:val="18"/>
              </w:rPr>
            </w:pPr>
            <w:r>
              <w:rPr>
                <w:rFonts w:ascii="黑体" w:hAnsi="黑体" w:cs="黑体" w:eastAsia="黑体"/>
                <w:color w:val="000000"/>
                <w:sz w:val="18"/>
              </w:rPr>
              <w:t>中国邮政储蓄银行股份有限公司</w:t>
            </w:r>
          </w:p>
        </w:tc>
      </w:tr>
      <w:tr w:rsidR="00976DD8" w:rsidRPr="00535A79" w14:paraId="534F1F25"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D8C8821" w14:textId="77777777" w:rsidR="00976DD8" w:rsidRPr="00535A79" w:rsidRDefault="00976DD8" w:rsidP="004B1861">
            <w:pPr>
              <w:widowControl/>
              <w:jc w:val="center"/>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2、投资组合报告</w:t>
            </w:r>
          </w:p>
        </w:tc>
      </w:tr>
      <w:tr w:rsidR="00976DD8" w:rsidRPr="00535A79" w14:paraId="23899882"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C16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2.1 投资组合基本情况</w:t>
            </w:r>
          </w:p>
        </w:tc>
      </w:tr>
      <w:tr w:rsidR="00976DD8" w:rsidRPr="00535A79" w14:paraId="27967E2B"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C66C6" w14:textId="596C3CB9"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杠杆水平</w:t>
            </w:r>
          </w:p>
        </w:tc>
        <w:tc>
          <w:tcPr>
            <w:tcW w:w="7087" w:type="dxa"/>
            <w:gridSpan w:val="11"/>
            <w:tcBorders>
              <w:top w:val="single" w:sz="4" w:space="0" w:color="auto"/>
              <w:left w:val="nil"/>
              <w:bottom w:val="single" w:sz="4" w:space="0" w:color="auto"/>
              <w:right w:val="single" w:sz="4" w:space="0" w:color="auto"/>
            </w:tcBorders>
            <w:shd w:val="clear" w:color="auto" w:fill="auto"/>
            <w:vAlign w:val="center"/>
            <w:hideMark/>
          </w:tcPr>
          <w:p w14:paraId="20EFB8EF" w14:textId="200D6CEC" w:rsidR="00976DD8" w:rsidRPr="00535A79" w:rsidRDefault="005A20BB" w:rsidP="005A20BB">
            <w:pPr>
              <w:widowControl/>
              <w:rPr>
                <w:rFonts w:ascii="黑体" w:eastAsia="黑体" w:hAnsi="黑体" w:cs="宋体"/>
                <w:b/>
                <w:bCs/>
                <w:color w:val="000000"/>
                <w:kern w:val="0"/>
                <w:sz w:val="22"/>
              </w:rPr>
            </w:pPr>
            <w:r w:rsidRPr="00535A79">
              <w:rPr>
                <w:rFonts w:ascii="黑体" w:eastAsia="黑体" w:hAnsi="黑体" w:cs="宋体" w:hint="eastAsia"/>
                <w:b/>
                <w:bCs/>
                <w:color w:val="000000"/>
                <w:kern w:val="0"/>
                <w:sz w:val="22"/>
              </w:rPr>
              <w:t>100.02%</w:t>
            </w:r>
          </w:p>
        </w:tc>
      </w:tr>
      <w:tr w:rsidR="00976DD8" w:rsidRPr="00535A79" w14:paraId="7FCDD4E8"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0D30"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2.2 资产配置情况</w:t>
            </w:r>
          </w:p>
        </w:tc>
      </w:tr>
      <w:tr w:rsidR="00CD26C1" w:rsidRPr="00535A79" w14:paraId="02EED3F8"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DCCC2"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0D54E75A" w14:textId="77777777" w:rsidR="00CD26C1" w:rsidRPr="00535A79" w:rsidRDefault="00CD26C1"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资产种类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524E194" w14:textId="312F44D5" w:rsidR="00CD26C1" w:rsidRPr="00535A79" w:rsidRDefault="00CD26C1" w:rsidP="00CD26C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CD26C1" w:rsidRPr="00535A79" w14:paraId="21785CC2" w14:textId="77777777" w:rsidTr="00CD26C1">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8579" w14:textId="77777777" w:rsidR="00CD26C1" w:rsidRPr="00535A79" w:rsidRDefault="00CD26C1" w:rsidP="004B1861">
            <w:pPr>
              <w:jc w:val="center"/>
              <w:rPr>
                <w:rFonts w:ascii="黑体" w:eastAsia="黑体" w:hAnsi="黑体" w:cs="Arial"/>
                <w:sz w:val="18"/>
                <w:szCs w:val="18"/>
              </w:rPr>
            </w:pPr>
            <w:r w:rsidRPr="00535A79">
              <w:rPr>
                <w:rFonts w:ascii="黑体" w:eastAsia="黑体" w:hAnsi="黑体" w:cs="Arial" w:hint="eastAsia"/>
                <w:sz w:val="18"/>
                <w:szCs w:val="18"/>
              </w:rPr>
              <w:t>1</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F7B2529" w14:textId="77777777" w:rsidR="00CD26C1" w:rsidRPr="00535A79" w:rsidRDefault="00CD26C1" w:rsidP="004B1861">
            <w:pPr>
              <w:widowControl/>
              <w:jc w:val="center"/>
              <w:rPr>
                <w:rFonts w:ascii="黑体" w:eastAsia="黑体" w:hAnsi="黑体" w:cs="宋体"/>
                <w:color w:val="000000"/>
                <w:kern w:val="0"/>
                <w:sz w:val="18"/>
                <w:szCs w:val="18"/>
              </w:rPr>
            </w:pPr>
            <w:r>
              <w:rPr>
                <w:rFonts w:ascii="黑体" w:eastAsia="黑体" w:hAnsi="黑体" w:cs="Arial" w:hint="eastAsia"/>
                <w:sz w:val="18"/>
                <w:szCs w:val="18"/>
              </w:rPr>
              <w:t>资产管理产品</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517C1D2E" w14:textId="7D705F84" w:rsidR="00CD26C1" w:rsidRPr="00535A79" w:rsidRDefault="00CD26C1" w:rsidP="00845514">
            <w:pPr>
              <w:widowControl/>
              <w:jc w:val="center"/>
              <w:rPr>
                <w:rFonts w:ascii="黑体" w:eastAsia="黑体" w:hAnsi="黑体" w:cs="宋体"/>
                <w:color w:val="000000"/>
                <w:kern w:val="0"/>
                <w:sz w:val="18"/>
                <w:szCs w:val="18"/>
              </w:rPr>
            </w:pPr>
            <w:r>
              <w:rPr>
                <w:rFonts w:ascii="黑体" w:eastAsia="黑体" w:hAnsi="黑体" w:cs="Arial" w:hint="eastAsia"/>
                <w:sz w:val="18"/>
                <w:szCs w:val="18"/>
              </w:rPr>
              <w:t>100.00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2</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其他符合监管要求的权益类资产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3</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股票</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4</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5</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现金、货币市场工具类</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6</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商品、外汇</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7</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其他符合监管要求的债权类资产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trPr>
          <w:trHeight w:val="614"/>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黑体" w:eastAsia="黑体" w:hAnsi="黑体" w:cs="Arial"/>
                <w:sz w:val="18"/>
                <w:szCs w:val="18"/>
              </w:rPr>
            </w:pPr>
            <w:r>
              <w:rPr>
                <w:rFonts w:ascii="黑体" w:eastAsia="黑体" w:hAnsi="黑体" w:cs="Arial" w:hint="eastAsia"/>
                <w:sz w:val="18"/>
                <w:szCs w:val="18"/>
              </w:rPr>
              <w:t>8</w:t>
            </w:r>
          </w:p>
        </w:tc>
        <w:tc>
          <w:tcPr>
            <w:tcW w:w="3260" w:type="dxa"/>
            <w:gridSpan w:val="6"/>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债券、ABS等标准化固定收益资产</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pPr>
              <w:widowControl/>
              <w:jc w:val="center"/>
              <w:rPr>
                <w:rFonts w:ascii="黑体" w:eastAsia="黑体" w:hAnsi="黑体" w:cs="宋体"/>
                <w:color w:val="000000"/>
                <w:kern w:val="0"/>
                <w:sz w:val="18"/>
                <w:szCs w:val="18"/>
              </w:rPr>
            </w:pPr>
            <w:r>
              <w:rPr>
                <w:rFonts w:ascii="黑体" w:eastAsia="黑体" w:hAnsi="黑体" w:cs="Arial" w:hint="eastAsia"/>
                <w:sz w:val="18"/>
                <w:szCs w:val="18"/>
              </w:rPr>
              <w:t>0.00</w:t>
            </w:r>
          </w:p>
        </w:tc>
      </w:tr>
      <w:tr w:rsidR="00976DD8" w:rsidRPr="00535A79" w14:paraId="7521E2A3"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B394C"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2.3 非标准化债权资产明细</w:t>
            </w:r>
          </w:p>
        </w:tc>
      </w:tr>
      <w:tr w:rsidR="00976DD8" w:rsidRPr="00535A79" w14:paraId="7E8549F8" w14:textId="77777777" w:rsidTr="00CD26C1">
        <w:trPr>
          <w:trHeight w:val="465"/>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72BD"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E8950"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融资客户</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2694EF"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项目名称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C6A9E"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剩余融资期限（天）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086B" w14:textId="77777777" w:rsidR="00976DD8" w:rsidRPr="00535A79" w:rsidRDefault="00976DD8"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交易结构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69C41" w14:textId="1305A3B8" w:rsidR="00976DD8" w:rsidRPr="00535A79" w:rsidRDefault="00311CC2" w:rsidP="004B1861">
            <w:pPr>
              <w:widowControl/>
              <w:jc w:val="center"/>
              <w:rPr>
                <w:rFonts w:ascii="黑体" w:eastAsia="黑体" w:hAnsi="黑体" w:cs="宋体"/>
                <w:color w:val="000000"/>
                <w:kern w:val="0"/>
                <w:sz w:val="18"/>
                <w:szCs w:val="18"/>
              </w:rPr>
            </w:pPr>
            <w:r w:rsidRPr="00311CC2">
              <w:rPr>
                <w:rFonts w:ascii="黑体" w:eastAsia="黑体" w:hAnsi="黑体" w:cs="宋体" w:hint="eastAsia"/>
                <w:color w:val="000000"/>
                <w:kern w:val="0"/>
                <w:sz w:val="18"/>
                <w:szCs w:val="18"/>
              </w:rPr>
              <w:t>到期收益分配</w:t>
            </w:r>
          </w:p>
        </w:tc>
      </w:tr>
      <w:tr w:rsidR="00976DD8" w:rsidRPr="00535A79" w14:paraId="73698923" w14:textId="77777777" w:rsidTr="00CD26C1">
        <w:trPr>
          <w:trHeight w:val="270"/>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9F8F" w14:textId="77777777" w:rsidR="00976DD8" w:rsidRPr="00535A79" w:rsidRDefault="008A4E3B"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
            </w:r>
            <w:bookmarkStart w:id="0" w:name="OLE_LINK1"/>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2384" w14:textId="77777777" w:rsidR="00976DD8" w:rsidRPr="00535A79" w:rsidRDefault="00976DD8" w:rsidP="004B1861">
            <w:pPr>
              <w:widowControl/>
              <w:jc w:val="center"/>
              <w:rPr>
                <w:rFonts w:ascii="黑体" w:eastAsia="黑体" w:hAnsi="黑体" w:cs="宋体"/>
                <w:color w:val="000000"/>
                <w:kern w:val="0"/>
                <w:sz w:val="18"/>
                <w:szCs w:val="18"/>
              </w:rPr>
            </w:pP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084E61" w14:textId="77777777" w:rsidR="00976DD8" w:rsidRPr="00535A79" w:rsidRDefault="00976DD8" w:rsidP="008A4E3B">
            <w:pPr>
              <w:widowControl/>
              <w:rPr>
                <w:rFonts w:ascii="黑体" w:eastAsia="黑体" w:hAnsi="黑体" w:cs="宋体"/>
                <w:color w:val="000000"/>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A765" w14:textId="77777777" w:rsidR="00976DD8" w:rsidRPr="00535A79" w:rsidRDefault="00976DD8" w:rsidP="004B1861">
            <w:pPr>
              <w:widowControl/>
              <w:jc w:val="center"/>
              <w:rPr>
                <w:rFonts w:ascii="黑体" w:eastAsia="黑体" w:hAnsi="黑体" w:cs="宋体"/>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9A475" w14:textId="77777777" w:rsidR="00976DD8" w:rsidRPr="00535A79" w:rsidRDefault="00976DD8" w:rsidP="004B1861">
            <w:pPr>
              <w:widowControl/>
              <w:jc w:val="center"/>
              <w:rPr>
                <w:rFonts w:ascii="黑体" w:eastAsia="黑体" w:hAnsi="黑体"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70362" w14:textId="77777777" w:rsidR="00976DD8" w:rsidRPr="00535A79" w:rsidRDefault="00976DD8" w:rsidP="004B1861">
            <w:pPr>
              <w:widowControl/>
              <w:jc w:val="center"/>
              <w:rPr>
                <w:rFonts w:ascii="黑体" w:eastAsia="黑体" w:hAnsi="黑体" w:cs="宋体"/>
                <w:color w:val="000000"/>
                <w:kern w:val="0"/>
                <w:sz w:val="18"/>
                <w:szCs w:val="18"/>
              </w:rPr>
            </w:pPr>
          </w:p>
        </w:tc>
      </w:tr>
      <w:tr w:rsidR="00976DD8" w:rsidRPr="00535A79" w14:paraId="60FB4EAC" w14:textId="77777777" w:rsidTr="00CD26C1">
        <w:trPr>
          <w:trHeight w:val="270"/>
        </w:trPr>
        <w:tc>
          <w:tcPr>
            <w:tcW w:w="86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E8F2" w14:textId="77777777" w:rsidR="00976DD8" w:rsidRPr="00535A79" w:rsidRDefault="00976DD8" w:rsidP="004B1861">
            <w:pPr>
              <w:widowControl/>
              <w:jc w:val="center"/>
              <w:rPr>
                <w:rFonts w:ascii="黑体" w:eastAsia="黑体" w:hAnsi="黑体" w:cs="宋体"/>
                <w:color w:val="000000"/>
                <w:kern w:val="0"/>
                <w:sz w:val="20"/>
                <w:szCs w:val="20"/>
              </w:rPr>
            </w:pPr>
            <w:r w:rsidRPr="00535A79">
              <w:rPr>
                <w:rFonts w:ascii="黑体" w:eastAsia="黑体" w:hAnsi="黑体" w:cs="宋体" w:hint="eastAsia"/>
                <w:color w:val="000000"/>
                <w:kern w:val="0"/>
                <w:sz w:val="20"/>
                <w:szCs w:val="20"/>
              </w:rPr>
              <w:t>2.4 占产品资产比例大小排序的前十项资产明细</w:t>
            </w:r>
          </w:p>
        </w:tc>
      </w:tr>
      <w:tr w:rsidR="00311CC2" w:rsidRPr="00535A79" w14:paraId="7B5A9884" w14:textId="77777777" w:rsidTr="00311CC2">
        <w:trPr>
          <w:trHeight w:val="45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9E8816" w14:textId="293EC0D2" w:rsidR="00311CC2" w:rsidRPr="00535A79" w:rsidRDefault="00311CC2" w:rsidP="00311CC2">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序号</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D781EC"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名称</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9FEA9D" w14:textId="20877CA7" w:rsidR="00311CC2" w:rsidRPr="00535A79" w:rsidRDefault="001975AF" w:rsidP="004B1861">
            <w:pPr>
              <w:widowControl/>
              <w:jc w:val="center"/>
              <w:rPr>
                <w:rFonts w:ascii="黑体" w:eastAsia="黑体" w:hAnsi="黑体" w:cs="宋体"/>
                <w:color w:val="000000"/>
                <w:kern w:val="0"/>
                <w:sz w:val="18"/>
                <w:szCs w:val="18"/>
              </w:rPr>
            </w:pPr>
            <w:r w:rsidRPr="001975AF">
              <w:rPr>
                <w:rFonts w:ascii="黑体" w:eastAsia="黑体" w:hAnsi="黑体" w:cs="宋体" w:hint="eastAsia"/>
                <w:color w:val="000000"/>
                <w:kern w:val="0"/>
                <w:sz w:val="18"/>
                <w:szCs w:val="18"/>
              </w:rPr>
              <w:t>资产余额</w:t>
            </w:r>
            <w:r w:rsidR="00311CC2" w:rsidRPr="00535A79">
              <w:rPr>
                <w:rFonts w:ascii="黑体" w:eastAsia="黑体" w:hAnsi="黑体" w:cs="宋体" w:hint="eastAsia"/>
                <w:color w:val="000000"/>
                <w:kern w:val="0"/>
                <w:sz w:val="18"/>
                <w:szCs w:val="18"/>
              </w:rPr>
              <w:t>（元）</w:t>
            </w:r>
          </w:p>
        </w:tc>
        <w:tc>
          <w:tcPr>
            <w:tcW w:w="2410" w:type="dxa"/>
            <w:gridSpan w:val="3"/>
            <w:tcBorders>
              <w:top w:val="nil"/>
              <w:left w:val="nil"/>
              <w:bottom w:val="single" w:sz="4" w:space="0" w:color="auto"/>
              <w:right w:val="single" w:sz="4" w:space="0" w:color="auto"/>
            </w:tcBorders>
            <w:shd w:val="clear" w:color="auto" w:fill="auto"/>
            <w:vAlign w:val="center"/>
            <w:hideMark/>
          </w:tcPr>
          <w:p w14:paraId="53F8657F" w14:textId="77777777"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占投资组合的比例（%）</w:t>
            </w:r>
          </w:p>
        </w:tc>
      </w:tr>
      <w:tr w:rsidR="00311CC2" w:rsidRPr="00535A79" w14:paraId="5384E205" w14:textId="77777777" w:rsidTr="00311CC2">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52112" w14:textId="6E7774E9" w:rsidR="00311CC2" w:rsidRPr="00535A79" w:rsidRDefault="00311CC2" w:rsidP="004B1861">
            <w:pPr>
              <w:widowControl/>
              <w:jc w:val="center"/>
              <w:rPr>
                <w:rFonts w:ascii="黑体" w:eastAsia="黑体" w:hAnsi="黑体" w:cs="宋体"/>
                <w:color w:val="000000"/>
                <w:kern w:val="0"/>
                <w:sz w:val="18"/>
                <w:szCs w:val="18"/>
              </w:rPr>
            </w:pPr>
            <w:r w:rsidRPr="00535A79">
              <w:rPr>
                <w:rFonts w:ascii="黑体" w:eastAsia="黑体" w:hAnsi="黑体" w:cs="宋体" w:hint="eastAsia"/>
                <w:color w:val="000000"/>
                <w:kern w:val="0"/>
                <w:sz w:val="18"/>
                <w:szCs w:val="18"/>
              </w:rPr>
              <w:t>1</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E2997D" w14:textId="77777777" w:rsidR="00311CC2" w:rsidRPr="00535A79" w:rsidRDefault="00311CC2" w:rsidP="004B1861">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光大永明资产聚财94号资产管理产品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272440" w14:textId="77777777" w:rsidR="00311CC2" w:rsidRPr="00535A79" w:rsidRDefault="00311CC2"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76,346,488.54</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1A6B544" w14:textId="77777777" w:rsidR="00311CC2" w:rsidRPr="00535A79" w:rsidRDefault="00311CC2" w:rsidP="00B37ECA">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79.98</w:t>
            </w:r>
          </w:p>
        </w:tc>
      </w:tr>
      <w:tr>
        <w:trPr>
          <w:trHeight w:val="840"/>
        </w:trPr>
        <w:tc>
          <w:tcPr>
            <w:tcW w:w="1565" w:type="dxa"/>
            <w:gridSpan w:val="2"/>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3118" w:type="dxa"/>
            <w:gridSpan w:val="5"/>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华安财保资管安华优选14号固定收益集合资产管理产品</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19,110,404.44</w:t>
            </w:r>
          </w:p>
        </w:tc>
        <w:tc>
          <w:tcPr>
            <w:tcW w:w="2410" w:type="dxa"/>
            <w:gridSpan w:val="3"/>
            <w:tcBorders>
              <w:top w:val="nil"/>
              <w:left w:val="nil"/>
              <w:bottom w:val="single" w:sz="4" w:space="0" w:color="auto"/>
              <w:right w:val="single" w:sz="4" w:space="0" w:color="auto"/>
            </w:tcBorders>
            <w:shd w:val="clear" w:color="auto" w:fill="auto"/>
            <w:noWrap/>
            <w:vAlign w:val="center"/>
            <w:hideMark/>
          </w:tcPr>
          <w:p>
            <w:pPr>
              <w:widowControl/>
              <w:jc w:val="center"/>
              <w:rPr>
                <w:rFonts w:ascii="黑体" w:eastAsia="黑体" w:hAnsi="黑体" w:cs="宋体"/>
                <w:color w:val="000000"/>
                <w:kern w:val="0"/>
                <w:sz w:val="22"/>
              </w:rPr>
            </w:pPr>
            <w:r>
              <w:rPr>
                <w:rFonts w:ascii="黑体" w:eastAsia="黑体" w:hAnsi="黑体" w:cs="宋体" w:hint="eastAsia"/>
                <w:color w:val="000000"/>
                <w:kern w:val="0"/>
                <w:sz w:val="18"/>
                <w:szCs w:val="18"/>
              </w:rPr>
              <w:t>20.02</w:t>
            </w:r>
          </w:p>
        </w:tc>
      </w:tr>
      <w:tr w:rsidR="00976DD8" w:rsidRPr="00535A79" w14:paraId="41971336" w14:textId="77777777" w:rsidTr="00CD26C1">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BDFBE5F" w14:textId="77777777" w:rsidR="00976DD8" w:rsidRPr="00535A79" w:rsidRDefault="00E7332D" w:rsidP="00E7332D">
            <w:pPr>
              <w:widowControl/>
              <w:jc w:val="center"/>
              <w:rPr>
                <w:rFonts w:ascii="黑体" w:eastAsia="黑体" w:hAnsi="黑体" w:cs="宋体"/>
                <w:b/>
                <w:color w:val="000000"/>
                <w:kern w:val="0"/>
                <w:sz w:val="13"/>
                <w:szCs w:val="13"/>
              </w:rPr>
            </w:pPr>
            <w:r w:rsidRPr="00535A79">
              <w:rPr>
                <w:rFonts w:ascii="黑体" w:eastAsia="黑体" w:hAnsi="黑体" w:cs="宋体" w:hint="eastAsia"/>
                <w:b/>
                <w:color w:val="000000"/>
                <w:kern w:val="0"/>
                <w:sz w:val="20"/>
                <w:szCs w:val="20"/>
              </w:rPr>
              <w:t>2.5投资组合的流动性风险分析</w:t>
            </w:r>
          </w:p>
        </w:tc>
      </w:tr>
      <w:tr w:rsidR="00E7332D" w:rsidRPr="00535A79" w14:paraId="40FFCAE1"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BC8CA25" w14:textId="6325FEEC" w:rsidR="00E7332D" w:rsidRPr="00716B93" w:rsidRDefault="00564D1F" w:rsidP="004B1861">
            <w:pPr>
              <w:widowControl/>
              <w:jc w:val="left"/>
              <w:rPr>
                <w:rFonts w:ascii="黑体" w:eastAsia="黑体" w:hAnsi="黑体" w:cs="宋体"/>
                <w:color w:val="000000"/>
                <w:kern w:val="0"/>
                <w:sz w:val="18"/>
                <w:szCs w:val="18"/>
              </w:rPr>
            </w:pPr>
            <w:r w:rsidRPr="00716B93">
              <w:rPr>
                <w:rFonts w:ascii="黑体" w:eastAsia="黑体" w:hAnsi="黑体" w:cs="宋体" w:hint="eastAsia"/>
                <w:b/>
                <w:bCs/>
                <w:color w:val="000000"/>
                <w:kern w:val="0"/>
                <w:sz w:val="18"/>
                <w:szCs w:val="18"/>
              </w:rPr>
              <w:t>本产品的流动性风险来自于若投资品种所处的交易市场不活跃，可能带来资产变现困难或产品持仓资产在市场出现剧烈波动的情况下难以以合理的价格变现的风险。为防范以上风险，本产品管理人合理安排资产结构，严格按照产品说明书约定的投资范围、比例等要求进行管理。</w:t>
            </w:r>
          </w:p>
        </w:tc>
      </w:tr>
      <w:tr w:rsidR="00865072" w:rsidRPr="00535A79" w14:paraId="78B40727" w14:textId="77777777" w:rsidTr="00CD26C1">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53361E0"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lastRenderedPageBreak/>
              <w:t>备注：</w:t>
            </w:r>
          </w:p>
          <w:p w14:paraId="5F3EAF7B" w14:textId="77777777" w:rsidR="00744A60" w:rsidRPr="00744A60" w:rsidRDefault="00744A60" w:rsidP="00744A60">
            <w:pPr>
              <w:widowControl/>
              <w:jc w:val="left"/>
              <w:rPr>
                <w:rFonts w:ascii="黑体" w:eastAsia="黑体" w:hAnsi="黑体" w:cs="宋体"/>
                <w:color w:val="000000"/>
                <w:kern w:val="0"/>
                <w:sz w:val="18"/>
                <w:szCs w:val="18"/>
              </w:rPr>
            </w:pPr>
            <w:r w:rsidRPr="00744A60">
              <w:rPr>
                <w:rFonts w:ascii="黑体" w:eastAsia="黑体" w:hAnsi="黑体" w:cs="宋体" w:hint="eastAsia"/>
                <w:color w:val="000000"/>
                <w:kern w:val="0"/>
                <w:sz w:val="18"/>
                <w:szCs w:val="18"/>
              </w:rPr>
              <w:t>1、上述披露信息为该产品报告日投资情况，该数据仅供参考，实际投资比例以银行投资运作情况为准，泰隆银行对上述披露信息有最终解释权。</w:t>
            </w:r>
          </w:p>
          <w:p w14:paraId="3016E09F" w14:textId="4F55D1E5" w:rsidR="00865072" w:rsidRPr="00744A60" w:rsidRDefault="00744A60" w:rsidP="00744A60">
            <w:pPr>
              <w:widowControl/>
              <w:jc w:val="left"/>
              <w:rPr>
                <w:rFonts w:ascii="黑体" w:eastAsia="黑体" w:hAnsi="黑体" w:cs="宋体"/>
                <w:color w:val="000000"/>
                <w:kern w:val="0"/>
                <w:sz w:val="13"/>
                <w:szCs w:val="13"/>
              </w:rPr>
            </w:pPr>
            <w:r w:rsidRPr="00744A60">
              <w:rPr>
                <w:rFonts w:ascii="黑体" w:eastAsia="黑体" w:hAnsi="黑体" w:cs="宋体" w:hint="eastAsia"/>
                <w:color w:val="000000"/>
                <w:kern w:val="0"/>
                <w:sz w:val="18"/>
                <w:szCs w:val="18"/>
              </w:rPr>
              <w:t>2、理财产品托管人</w:t>
            </w:r>
            <w:r w:rsidR="00F14EE0">
              <w:rPr>
                <w:rFonts w:ascii="黑体" w:eastAsia="黑体" w:hAnsi="黑体" w:cs="宋体" w:hint="eastAsia"/>
                <w:color w:val="000000"/>
                <w:kern w:val="0"/>
                <w:sz w:val="18"/>
                <w:szCs w:val="18"/>
              </w:rPr>
              <w:t>中国邮政储蓄银行股份有限公司</w:t>
            </w:r>
            <w:r w:rsidRPr="00744A60">
              <w:rPr>
                <w:rFonts w:ascii="黑体" w:eastAsia="黑体" w:hAnsi="黑体" w:cs="宋体" w:hint="eastAsia"/>
                <w:color w:val="000000"/>
                <w:kern w:val="0"/>
                <w:sz w:val="18"/>
                <w:szCs w:val="18"/>
              </w:rPr>
              <w:t>根据托管协议规定，复核了本报告中的财务指标、净值表现和投资组合报告等内容，保证复核内容不存在虚假记载、误导性陈述。</w:t>
            </w:r>
          </w:p>
        </w:tc>
      </w:tr>
      <w:tr w:rsidR="00ED072B" w:rsidRPr="0051248B" w14:paraId="3AC90728" w14:textId="77777777" w:rsidTr="008D10CF">
        <w:trPr>
          <w:trHeight w:val="561"/>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59B1D89" w14:textId="058791B0" w:rsidR="00ED072B" w:rsidRPr="0051248B" w:rsidRDefault="00ED072B" w:rsidP="00922669">
            <w:pPr>
              <w:widowControl/>
              <w:jc w:val="center"/>
              <w:rPr>
                <w:rFonts w:ascii="黑体" w:eastAsia="黑体" w:hAnsi="黑体" w:cs="宋体"/>
                <w:b/>
                <w:color w:val="000000"/>
                <w:kern w:val="0"/>
                <w:sz w:val="13"/>
                <w:szCs w:val="13"/>
              </w:rPr>
            </w:pPr>
            <w:bookmarkStart w:id="1" w:name="_Hlk76564588"/>
            <w:r w:rsidRPr="00ED072B">
              <w:rPr>
                <w:rFonts w:ascii="黑体" w:eastAsia="黑体" w:hAnsi="黑体" w:cs="宋体" w:hint="eastAsia"/>
                <w:b/>
                <w:color w:val="000000"/>
                <w:kern w:val="0"/>
                <w:sz w:val="20"/>
                <w:szCs w:val="20"/>
              </w:rPr>
              <w:t>2.6季度财务会计报告(三表)</w:t>
            </w:r>
          </w:p>
        </w:tc>
      </w:tr>
      <w:tr w:rsidR="00ED072B" w:rsidRPr="0051248B" w14:paraId="07F985B4" w14:textId="77777777" w:rsidTr="00922669">
        <w:trPr>
          <w:trHeight w:val="424"/>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D246312" w14:textId="2628DE4A" w:rsidR="00ED072B" w:rsidRPr="009933F8" w:rsidRDefault="00ED072B" w:rsidP="00922669">
            <w:pPr>
              <w:widowControl/>
              <w:jc w:val="left"/>
              <w:rPr>
                <w:rFonts w:ascii="黑体" w:eastAsia="黑体" w:hAnsi="黑体" w:cs="宋体"/>
                <w:b/>
                <w:color w:val="000000"/>
                <w:kern w:val="0"/>
                <w:sz w:val="20"/>
                <w:szCs w:val="20"/>
              </w:rPr>
            </w:pPr>
            <w:r w:rsidRPr="009933F8">
              <w:rPr>
                <w:rFonts w:ascii="黑体" w:eastAsia="黑体" w:hAnsi="黑体" w:cs="宋体" w:hint="eastAsia"/>
                <w:b/>
                <w:color w:val="000000"/>
                <w:kern w:val="0"/>
                <w:sz w:val="20"/>
                <w:szCs w:val="20"/>
              </w:rPr>
              <w:t>2.6.1</w:t>
            </w:r>
            <w:r w:rsidR="005E078C">
              <w:rPr>
                <w:rFonts w:ascii="黑体" w:eastAsia="黑体" w:hAnsi="黑体" w:cs="宋体" w:hint="eastAsia"/>
                <w:b/>
                <w:color w:val="000000"/>
                <w:kern w:val="0"/>
                <w:sz w:val="20"/>
                <w:szCs w:val="20"/>
              </w:rPr>
              <w:t>资产负债表</w:t>
            </w:r>
          </w:p>
        </w:tc>
      </w:tr>
      <w:tr w:rsidR="00ED072B" w:rsidRPr="0051248B" w14:paraId="13A123A6"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A8B0DE8"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bookmarkEnd w:id="1"/>
      <w:tr w:rsidR="008F44C5" w:rsidRPr="0051248B" w14:paraId="577DD5C7"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27E14AC8"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资产</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D25EBE8" w14:textId="2318C9A0"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2D7F182" w14:textId="77777777" w:rsidR="008F44C5" w:rsidRPr="00ED072B" w:rsidRDefault="008F44C5" w:rsidP="00922669">
            <w:pPr>
              <w:widowControl/>
              <w:jc w:val="center"/>
              <w:rPr>
                <w:rFonts w:ascii="黑体" w:eastAsia="黑体" w:hAnsi="黑体" w:cs="宋体"/>
                <w:b/>
                <w:bCs/>
                <w:color w:val="000000"/>
                <w:kern w:val="0"/>
                <w:sz w:val="18"/>
                <w:szCs w:val="18"/>
              </w:rPr>
            </w:pPr>
            <w:r w:rsidRPr="00ED072B">
              <w:rPr>
                <w:rFonts w:ascii="黑体" w:eastAsia="黑体" w:hAnsi="黑体" w:cs="宋体" w:hint="eastAsia"/>
                <w:b/>
                <w:bCs/>
                <w:color w:val="000000"/>
                <w:kern w:val="0"/>
                <w:sz w:val="18"/>
                <w:szCs w:val="18"/>
              </w:rPr>
              <w:t>负债和所有者权益</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7C91029" w14:textId="71AD2BA1" w:rsidR="008F44C5" w:rsidRPr="00ED072B" w:rsidRDefault="008F44C5" w:rsidP="008F44C5">
            <w:pPr>
              <w:widowControl/>
              <w:jc w:val="center"/>
              <w:rPr>
                <w:rFonts w:ascii="黑体" w:eastAsia="黑体" w:hAnsi="黑体" w:cs="宋体" w:hint="eastAsia"/>
                <w:b/>
                <w:bCs/>
                <w:color w:val="000000"/>
                <w:kern w:val="0"/>
                <w:sz w:val="18"/>
                <w:szCs w:val="18"/>
              </w:rPr>
            </w:pPr>
            <w:r w:rsidRPr="00ED072B">
              <w:rPr>
                <w:rFonts w:ascii="黑体" w:eastAsia="黑体" w:hAnsi="黑体" w:cs="宋体" w:hint="eastAsia"/>
                <w:b/>
                <w:bCs/>
                <w:color w:val="000000"/>
                <w:kern w:val="0"/>
                <w:sz w:val="18"/>
                <w:szCs w:val="18"/>
              </w:rPr>
              <w:t>期末余额</w:t>
            </w:r>
          </w:p>
        </w:tc>
      </w:tr>
      <w:tr w:rsidR="008F44C5" w:rsidRPr="0051248B" w14:paraId="63CFA599" w14:textId="77777777" w:rsidTr="00174F1C">
        <w:trPr>
          <w:trHeight w:val="375"/>
        </w:trPr>
        <w:tc>
          <w:tcPr>
            <w:tcW w:w="1442" w:type="dxa"/>
            <w:tcBorders>
              <w:top w:val="single" w:sz="4" w:space="0" w:color="auto"/>
              <w:left w:val="single" w:sz="4" w:space="0" w:color="auto"/>
              <w:bottom w:val="single" w:sz="4" w:space="0" w:color="auto"/>
              <w:right w:val="single" w:sz="4" w:space="0" w:color="000000"/>
            </w:tcBorders>
            <w:shd w:val="clear" w:color="auto" w:fill="auto"/>
            <w:vAlign w:val="center"/>
          </w:tcPr>
          <w:p w14:paraId="117F07D1" w14:textId="50898151"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
            </w:r>
          </w:p>
        </w:tc>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01E9855"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95,456,892.98</w:t>
            </w:r>
          </w:p>
        </w:tc>
        <w:tc>
          <w:tcPr>
            <w:tcW w:w="191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0C6CEDD" w14:textId="77777777" w:rsidR="008F44C5" w:rsidRPr="009933F8" w:rsidRDefault="008F44C5" w:rsidP="00922669">
            <w:pPr>
              <w:widowControl/>
              <w:jc w:val="left"/>
              <w:rPr>
                <w:rFonts w:ascii="黑体" w:eastAsia="黑体" w:hAnsi="黑体" w:cs="宋体"/>
                <w:color w:val="000000"/>
                <w:kern w:val="0"/>
                <w:sz w:val="18"/>
                <w:szCs w:val="18"/>
              </w:rPr>
            </w:pPr>
            <w:r>
              <w:rPr>
                <w:rFonts w:ascii="黑体" w:eastAsia="黑体" w:hAnsi="黑体" w:cs="宋体" w:hint="eastAsia"/>
                <w:color w:val="000000"/>
                <w:kern w:val="0"/>
                <w:sz w:val="18"/>
                <w:szCs w:val="18"/>
              </w:rPr>
              <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85F871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95,456,892.98</w:t>
            </w:r>
          </w:p>
        </w:tc>
      </w:tr>
      <w:tr w:rsidR="00ED072B" w:rsidRPr="0051248B" w14:paraId="0F14FB2A" w14:textId="77777777" w:rsidTr="00922669">
        <w:trPr>
          <w:trHeight w:val="406"/>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010C9A8" w14:textId="4618B4ED" w:rsidR="00ED072B" w:rsidRPr="0051248B" w:rsidRDefault="00ED072B"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2.6.2利润表</w:t>
            </w:r>
          </w:p>
        </w:tc>
      </w:tr>
      <w:tr w:rsidR="00ED072B" w:rsidRPr="0051248B" w14:paraId="5E294458" w14:textId="77777777" w:rsidTr="00922669">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F43886" w14:textId="77777777"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单位：元</w:t>
            </w:r>
          </w:p>
        </w:tc>
      </w:tr>
      <w:tr w:rsidR="008F44C5" w:rsidRPr="0051248B" w14:paraId="664DFEA7" w14:textId="77777777" w:rsidTr="00D47C3F">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680D6E51" w14:textId="62E9FA10" w:rsidR="008F44C5" w:rsidRPr="009933F8" w:rsidRDefault="008F44C5" w:rsidP="008F44C5">
            <w:pPr>
              <w:widowControl/>
              <w:jc w:val="center"/>
              <w:rPr>
                <w:rFonts w:ascii="黑体" w:eastAsia="黑体" w:hAnsi="黑体" w:cs="宋体" w:hint="eastAsia"/>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5CD8254D" w14:textId="77777777" w:rsidTr="00420A7C">
        <w:trPr>
          <w:trHeight w:val="375"/>
        </w:trPr>
        <w:tc>
          <w:tcPr>
            <w:tcW w:w="288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92F35B7" w14:textId="6569D6EC" w:rsidR="008F44C5" w:rsidRPr="009933F8" w:rsidRDefault="008F44C5"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利润总额</w:t>
            </w:r>
          </w:p>
        </w:tc>
        <w:tc>
          <w:tcPr>
            <w:tcW w:w="576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621BBABF"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439,212.33</w:t>
            </w:r>
          </w:p>
        </w:tc>
      </w:tr>
      <w:tr w:rsidR="00ED072B" w:rsidRPr="0051248B" w14:paraId="292F99AA" w14:textId="77777777" w:rsidTr="00922669">
        <w:trPr>
          <w:trHeight w:val="287"/>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B1BEBBD" w14:textId="6CEB9BF1" w:rsidR="00ED072B" w:rsidRPr="0051248B" w:rsidRDefault="00696DD6" w:rsidP="00922669">
            <w:pPr>
              <w:widowControl/>
              <w:jc w:val="left"/>
              <w:rPr>
                <w:rFonts w:ascii="黑体" w:eastAsia="黑体" w:hAnsi="黑体" w:cs="宋体"/>
                <w:b/>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3</w:t>
            </w:r>
            <w:r w:rsidR="004F459C">
              <w:rPr>
                <w:rFonts w:ascii="黑体" w:eastAsia="黑体" w:hAnsi="黑体" w:cs="宋体" w:hint="eastAsia"/>
                <w:b/>
                <w:color w:val="000000"/>
                <w:kern w:val="0"/>
                <w:sz w:val="20"/>
                <w:szCs w:val="20"/>
              </w:rPr>
              <w:t>所有者</w:t>
            </w:r>
            <w:r w:rsidR="00ED072B" w:rsidRPr="009933F8">
              <w:rPr>
                <w:rFonts w:ascii="黑体" w:eastAsia="黑体" w:hAnsi="黑体" w:cs="宋体" w:hint="eastAsia"/>
                <w:b/>
                <w:color w:val="000000"/>
                <w:kern w:val="0"/>
                <w:sz w:val="20"/>
                <w:szCs w:val="20"/>
              </w:rPr>
              <w:t>权益表</w:t>
            </w:r>
          </w:p>
        </w:tc>
      </w:tr>
      <w:tr w:rsidR="008F44C5" w:rsidRPr="0051248B" w14:paraId="7604B2EF" w14:textId="77777777" w:rsidTr="008F44C5">
        <w:trPr>
          <w:trHeight w:val="37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44A2C1B6"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本期</w:t>
            </w:r>
          </w:p>
        </w:tc>
      </w:tr>
      <w:tr w:rsidR="008F44C5" w:rsidRPr="0051248B" w14:paraId="1816693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AA18504"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实收基金</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178A93F"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未分配利润</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D01919A" w14:textId="77777777" w:rsidR="008F44C5" w:rsidRPr="009933F8" w:rsidRDefault="008F44C5" w:rsidP="00922669">
            <w:pPr>
              <w:widowControl/>
              <w:jc w:val="center"/>
              <w:rPr>
                <w:rFonts w:ascii="黑体" w:eastAsia="黑体" w:hAnsi="黑体" w:cs="宋体"/>
                <w:b/>
                <w:bCs/>
                <w:color w:val="000000"/>
                <w:kern w:val="0"/>
                <w:sz w:val="18"/>
                <w:szCs w:val="18"/>
              </w:rPr>
            </w:pPr>
            <w:r w:rsidRPr="009933F8">
              <w:rPr>
                <w:rFonts w:ascii="黑体" w:eastAsia="黑体" w:hAnsi="黑体" w:cs="宋体" w:hint="eastAsia"/>
                <w:b/>
                <w:bCs/>
                <w:color w:val="000000"/>
                <w:kern w:val="0"/>
                <w:sz w:val="18"/>
                <w:szCs w:val="18"/>
              </w:rPr>
              <w:t>所有者权益合计</w:t>
            </w:r>
          </w:p>
        </w:tc>
      </w:tr>
      <w:tr w:rsidR="008F44C5" w:rsidRPr="0051248B" w14:paraId="20CEA317" w14:textId="77777777" w:rsidTr="00174F1C">
        <w:trPr>
          <w:trHeight w:val="375"/>
        </w:trPr>
        <w:tc>
          <w:tcPr>
            <w:tcW w:w="28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CD09351" w14:textId="233B448B" w:rsidR="008F44C5" w:rsidRPr="009933F8" w:rsidRDefault="008F44C5" w:rsidP="00E33399">
            <w:pPr>
              <w:widowControl/>
              <w:jc w:val="righ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95,000,000.00</w:t>
            </w:r>
          </w:p>
        </w:tc>
        <w:tc>
          <w:tcPr>
            <w:tcW w:w="34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8B07293"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439,212.33</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4285DAD" w14:textId="77777777" w:rsidR="008F44C5" w:rsidRPr="009933F8" w:rsidRDefault="008F44C5" w:rsidP="00E33399">
            <w:pPr>
              <w:widowControl/>
              <w:jc w:val="right"/>
              <w:rPr>
                <w:rFonts w:ascii="黑体" w:eastAsia="黑体" w:hAnsi="黑体" w:cs="宋体"/>
                <w:color w:val="000000"/>
                <w:kern w:val="0"/>
                <w:sz w:val="18"/>
                <w:szCs w:val="18"/>
              </w:rPr>
            </w:pPr>
            <w:r>
              <w:rPr>
                <w:rFonts w:ascii="黑体" w:eastAsia="黑体" w:hAnsi="黑体" w:cs="宋体" w:hint="eastAsia"/>
                <w:color w:val="000000"/>
                <w:kern w:val="0"/>
                <w:sz w:val="18"/>
                <w:szCs w:val="18"/>
              </w:rPr>
              <w:t>95,439,212.33</w:t>
            </w:r>
          </w:p>
        </w:tc>
      </w:tr>
      <w:tr w:rsidR="00ED072B" w:rsidRPr="0051248B" w14:paraId="460E472B" w14:textId="77777777" w:rsidTr="00922669">
        <w:trPr>
          <w:trHeight w:val="560"/>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2537077" w14:textId="750C4CA2" w:rsidR="00ED072B" w:rsidRPr="0051248B" w:rsidRDefault="00696DD6" w:rsidP="00922669">
            <w:pPr>
              <w:widowControl/>
              <w:jc w:val="left"/>
              <w:rPr>
                <w:rFonts w:ascii="黑体" w:eastAsia="黑体" w:hAnsi="黑体" w:cs="宋体"/>
                <w:color w:val="000000"/>
                <w:kern w:val="0"/>
                <w:sz w:val="13"/>
                <w:szCs w:val="13"/>
              </w:rPr>
            </w:pPr>
            <w:r w:rsidRPr="009933F8">
              <w:rPr>
                <w:rFonts w:ascii="黑体" w:eastAsia="黑体" w:hAnsi="黑体" w:cs="宋体" w:hint="eastAsia"/>
                <w:b/>
                <w:color w:val="000000"/>
                <w:kern w:val="0"/>
                <w:sz w:val="20"/>
                <w:szCs w:val="20"/>
              </w:rPr>
              <w:t>2.6.</w:t>
            </w:r>
            <w:r>
              <w:rPr>
                <w:rFonts w:ascii="黑体" w:eastAsia="黑体" w:hAnsi="黑体" w:cs="宋体" w:hint="eastAsia"/>
                <w:b/>
                <w:color w:val="000000"/>
                <w:kern w:val="0"/>
                <w:sz w:val="20"/>
                <w:szCs w:val="20"/>
              </w:rPr>
              <w:t>4</w:t>
            </w:r>
            <w:r w:rsidR="00ED072B" w:rsidRPr="009933F8">
              <w:rPr>
                <w:rFonts w:ascii="黑体" w:eastAsia="黑体" w:hAnsi="黑体" w:cs="宋体" w:hint="eastAsia"/>
                <w:b/>
                <w:color w:val="000000"/>
                <w:kern w:val="0"/>
                <w:sz w:val="20"/>
                <w:szCs w:val="20"/>
              </w:rPr>
              <w:t>托管行申明</w:t>
            </w:r>
          </w:p>
        </w:tc>
      </w:tr>
      <w:tr w:rsidR="00ED072B" w:rsidRPr="0051248B" w14:paraId="51FD88E2" w14:textId="77777777" w:rsidTr="00922669">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CCD1078" w14:textId="6FA37E8C" w:rsidR="00ED072B" w:rsidRPr="009933F8" w:rsidRDefault="00ED072B" w:rsidP="00922669">
            <w:pPr>
              <w:widowControl/>
              <w:jc w:val="left"/>
              <w:rPr>
                <w:rFonts w:ascii="黑体" w:eastAsia="黑体" w:hAnsi="黑体" w:cs="宋体"/>
                <w:color w:val="000000"/>
                <w:kern w:val="0"/>
                <w:sz w:val="18"/>
                <w:szCs w:val="18"/>
              </w:rPr>
            </w:pPr>
            <w:r w:rsidRPr="009933F8">
              <w:rPr>
                <w:rFonts w:ascii="黑体" w:eastAsia="黑体" w:hAnsi="黑体" w:cs="宋体" w:hint="eastAsia"/>
                <w:color w:val="000000"/>
                <w:kern w:val="0"/>
                <w:sz w:val="18"/>
                <w:szCs w:val="18"/>
              </w:rPr>
              <w:t>中国邮政储蓄银行股份有限公司</w:t>
            </w:r>
            <w:r>
              <w:rPr>
                <w:rFonts w:ascii="黑体" w:hAnsi="黑体" w:cs="黑体" w:eastAsia="黑体"/>
                <w:color w:val="000000"/>
                <w:sz w:val="18"/>
                <w:u w:val="none"/>
              </w:rPr>
              <w:t>作为托管人</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已对上述财务会计报告中的数据进行了核对</w:t>
            </w:r>
            <w:r w:rsidR="00004110">
              <w:rPr>
                <w:rFonts w:ascii="黑体" w:eastAsia="黑体" w:hAnsi="黑体" w:cs="宋体" w:hint="eastAsia"/>
                <w:color w:val="000000"/>
                <w:kern w:val="0"/>
                <w:sz w:val="18"/>
                <w:szCs w:val="18"/>
              </w:rPr>
              <w:t>，</w:t>
            </w:r>
            <w:r w:rsidRPr="009933F8">
              <w:rPr>
                <w:rFonts w:ascii="黑体" w:eastAsia="黑体" w:hAnsi="黑体" w:cs="宋体" w:hint="eastAsia"/>
                <w:color w:val="000000"/>
                <w:kern w:val="0"/>
                <w:sz w:val="18"/>
                <w:szCs w:val="18"/>
              </w:rPr>
              <w:t>数据无误</w:t>
            </w:r>
            <w:r w:rsidR="009F68C8">
              <w:rPr>
                <w:rFonts w:ascii="黑体" w:eastAsia="黑体" w:hAnsi="黑体" w:cs="宋体" w:hint="eastAsia"/>
                <w:color w:val="000000"/>
                <w:kern w:val="0"/>
                <w:sz w:val="18"/>
                <w:szCs w:val="18"/>
              </w:rPr>
              <w:t>。</w:t>
            </w:r>
          </w:p>
        </w:tc>
      </w:tr>
      <w:tr w:rsidR="00A4376A" w:rsidRPr="00C96883" w14:paraId="77246718" w14:textId="77777777" w:rsidTr="00A4376A">
        <w:trPr>
          <w:trHeight w:val="1125"/>
        </w:trPr>
        <w:tc>
          <w:tcPr>
            <w:tcW w:w="8652"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B4592FA" w14:textId="4F4A36F9" w:rsidR="00A4376A" w:rsidRPr="00C96883" w:rsidRDefault="00A4376A" w:rsidP="004E05BC">
            <w:pPr>
              <w:widowControl/>
              <w:jc w:val="left"/>
              <w:rPr>
                <w:rFonts w:ascii="黑体" w:eastAsia="黑体" w:hAnsi="黑体" w:cs="宋体"/>
                <w:color w:val="000000"/>
                <w:kern w:val="0"/>
                <w:sz w:val="18"/>
                <w:szCs w:val="18"/>
              </w:rPr>
            </w:pPr>
            <w:r w:rsidRPr="00C96883">
              <w:rPr>
                <w:rFonts w:ascii="黑体" w:eastAsia="黑体" w:hAnsi="黑体" w:cs="宋体" w:hint="eastAsia"/>
                <w:color w:val="000000"/>
                <w:kern w:val="0"/>
                <w:sz w:val="18"/>
                <w:szCs w:val="18"/>
              </w:rPr>
              <w:t>备注：上述披露信息为该产品</w:t>
            </w:r>
            <w:r w:rsidR="00004110" w:rsidRPr="00004110">
              <w:rPr>
                <w:rFonts w:ascii="黑体" w:eastAsia="黑体" w:hAnsi="黑体" w:cs="宋体" w:hint="eastAsia"/>
                <w:color w:val="000000"/>
                <w:kern w:val="0"/>
                <w:sz w:val="18"/>
                <w:szCs w:val="18"/>
              </w:rPr>
              <w:t>报告日日终</w:t>
            </w:r>
            <w:r w:rsidRPr="00C96883">
              <w:rPr>
                <w:rFonts w:ascii="黑体" w:eastAsia="黑体" w:hAnsi="黑体" w:cs="宋体" w:hint="eastAsia"/>
                <w:color w:val="000000"/>
                <w:kern w:val="0"/>
                <w:sz w:val="18"/>
                <w:szCs w:val="18"/>
              </w:rPr>
              <w:t>的投资情况，该数据仅供参考，实际投资比例以银行投资运作情况为准，</w:t>
            </w:r>
            <w:r w:rsidRPr="00A4376A">
              <w:rPr>
                <w:rFonts w:ascii="黑体" w:eastAsia="黑体" w:hAnsi="黑体" w:cs="宋体" w:hint="eastAsia"/>
                <w:color w:val="000000"/>
                <w:kern w:val="0"/>
                <w:sz w:val="18"/>
                <w:szCs w:val="18"/>
              </w:rPr>
              <w:t>泰隆银行</w:t>
            </w:r>
            <w:r w:rsidRPr="00C96883">
              <w:rPr>
                <w:rFonts w:ascii="黑体" w:eastAsia="黑体" w:hAnsi="黑体" w:cs="宋体" w:hint="eastAsia"/>
                <w:color w:val="000000"/>
                <w:kern w:val="0"/>
                <w:sz w:val="18"/>
                <w:szCs w:val="18"/>
              </w:rPr>
              <w:t>对上述披露信息有最终解释权。</w:t>
            </w:r>
          </w:p>
        </w:tc>
      </w:tr>
    </w:tbl>
    <w:p w14:paraId="2D8369BE" w14:textId="77777777" w:rsidR="00860F62" w:rsidRPr="00A4376A" w:rsidRDefault="00860F62" w:rsidP="000A502D">
      <w:pPr>
        <w:rPr>
          <w:rFonts w:ascii="黑体" w:eastAsia="黑体" w:hAnsi="黑体"/>
        </w:rPr>
      </w:pPr>
    </w:p>
    <w:sectPr w:rsidR="00860F62" w:rsidRPr="00A4376A" w:rsidSect="00BC5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E511" w14:textId="77777777" w:rsidR="00DD66D2" w:rsidRDefault="00DD66D2" w:rsidP="00A4179D">
      <w:r>
        <w:separator/>
      </w:r>
    </w:p>
  </w:endnote>
  <w:endnote w:type="continuationSeparator" w:id="0">
    <w:p w14:paraId="4216E7EB" w14:textId="77777777" w:rsidR="00DD66D2" w:rsidRDefault="00DD66D2" w:rsidP="00A4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69A" w14:textId="77777777" w:rsidR="00DD66D2" w:rsidRDefault="00DD66D2" w:rsidP="00A4179D">
      <w:r>
        <w:separator/>
      </w:r>
    </w:p>
  </w:footnote>
  <w:footnote w:type="continuationSeparator" w:id="0">
    <w:p w14:paraId="0B124CE8" w14:textId="77777777" w:rsidR="00DD66D2" w:rsidRDefault="00DD66D2" w:rsidP="00A4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C055C"/>
    <w:multiLevelType w:val="singleLevel"/>
    <w:tmpl w:val="605C05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2CCF"/>
    <w:rsid w:val="00004110"/>
    <w:rsid w:val="00043438"/>
    <w:rsid w:val="00043B35"/>
    <w:rsid w:val="000721DB"/>
    <w:rsid w:val="00092642"/>
    <w:rsid w:val="00095E5D"/>
    <w:rsid w:val="000A502D"/>
    <w:rsid w:val="000C3F05"/>
    <w:rsid w:val="000E276D"/>
    <w:rsid w:val="000E62D5"/>
    <w:rsid w:val="00141AD0"/>
    <w:rsid w:val="00174F1C"/>
    <w:rsid w:val="0018355E"/>
    <w:rsid w:val="001975AF"/>
    <w:rsid w:val="001D74B3"/>
    <w:rsid w:val="002033E6"/>
    <w:rsid w:val="00252387"/>
    <w:rsid w:val="00265B2E"/>
    <w:rsid w:val="00265F11"/>
    <w:rsid w:val="00292B73"/>
    <w:rsid w:val="002F4D17"/>
    <w:rsid w:val="00311CC2"/>
    <w:rsid w:val="0034608B"/>
    <w:rsid w:val="00357BE9"/>
    <w:rsid w:val="00362202"/>
    <w:rsid w:val="00372C9B"/>
    <w:rsid w:val="0037311B"/>
    <w:rsid w:val="003A587C"/>
    <w:rsid w:val="003C3424"/>
    <w:rsid w:val="00413484"/>
    <w:rsid w:val="00433771"/>
    <w:rsid w:val="00441923"/>
    <w:rsid w:val="00464099"/>
    <w:rsid w:val="0049392B"/>
    <w:rsid w:val="004F459C"/>
    <w:rsid w:val="00506D00"/>
    <w:rsid w:val="00525D94"/>
    <w:rsid w:val="00527E19"/>
    <w:rsid w:val="00535A79"/>
    <w:rsid w:val="00564D1F"/>
    <w:rsid w:val="005A20BB"/>
    <w:rsid w:val="005C4739"/>
    <w:rsid w:val="005E078C"/>
    <w:rsid w:val="00610A40"/>
    <w:rsid w:val="00682EF9"/>
    <w:rsid w:val="00696DD6"/>
    <w:rsid w:val="006A6DD0"/>
    <w:rsid w:val="00702ECB"/>
    <w:rsid w:val="0070399A"/>
    <w:rsid w:val="00710D95"/>
    <w:rsid w:val="0071304D"/>
    <w:rsid w:val="00716B93"/>
    <w:rsid w:val="007429D1"/>
    <w:rsid w:val="00744A60"/>
    <w:rsid w:val="00745533"/>
    <w:rsid w:val="007859B7"/>
    <w:rsid w:val="007B47F7"/>
    <w:rsid w:val="007B4A49"/>
    <w:rsid w:val="007C0399"/>
    <w:rsid w:val="007D2FB6"/>
    <w:rsid w:val="007D36E9"/>
    <w:rsid w:val="007D75FE"/>
    <w:rsid w:val="007F3584"/>
    <w:rsid w:val="007F701C"/>
    <w:rsid w:val="0081531E"/>
    <w:rsid w:val="00827AB3"/>
    <w:rsid w:val="00843CB2"/>
    <w:rsid w:val="00845514"/>
    <w:rsid w:val="00852CCF"/>
    <w:rsid w:val="00857792"/>
    <w:rsid w:val="00860F62"/>
    <w:rsid w:val="00865072"/>
    <w:rsid w:val="008846E6"/>
    <w:rsid w:val="00886998"/>
    <w:rsid w:val="00893258"/>
    <w:rsid w:val="008A4E3B"/>
    <w:rsid w:val="008D10CF"/>
    <w:rsid w:val="008E2824"/>
    <w:rsid w:val="008F44C5"/>
    <w:rsid w:val="008F4654"/>
    <w:rsid w:val="00917A5D"/>
    <w:rsid w:val="00930FAE"/>
    <w:rsid w:val="009459E5"/>
    <w:rsid w:val="00961551"/>
    <w:rsid w:val="00976DD8"/>
    <w:rsid w:val="00987DC7"/>
    <w:rsid w:val="00990075"/>
    <w:rsid w:val="009933F8"/>
    <w:rsid w:val="009A1B43"/>
    <w:rsid w:val="009A1C62"/>
    <w:rsid w:val="009E3B54"/>
    <w:rsid w:val="009F68C8"/>
    <w:rsid w:val="00A4179D"/>
    <w:rsid w:val="00A4376A"/>
    <w:rsid w:val="00A522DF"/>
    <w:rsid w:val="00AA21A0"/>
    <w:rsid w:val="00AA5A44"/>
    <w:rsid w:val="00AD56AD"/>
    <w:rsid w:val="00AE1986"/>
    <w:rsid w:val="00B37ECA"/>
    <w:rsid w:val="00B65D28"/>
    <w:rsid w:val="00B737C0"/>
    <w:rsid w:val="00B913DA"/>
    <w:rsid w:val="00BC502E"/>
    <w:rsid w:val="00BD0171"/>
    <w:rsid w:val="00BD4E08"/>
    <w:rsid w:val="00BE33A8"/>
    <w:rsid w:val="00C474D0"/>
    <w:rsid w:val="00C5086A"/>
    <w:rsid w:val="00C569E0"/>
    <w:rsid w:val="00C81D1D"/>
    <w:rsid w:val="00CD26C1"/>
    <w:rsid w:val="00D62CEA"/>
    <w:rsid w:val="00D740E6"/>
    <w:rsid w:val="00D87A03"/>
    <w:rsid w:val="00DA7433"/>
    <w:rsid w:val="00DB6A4F"/>
    <w:rsid w:val="00DD66D2"/>
    <w:rsid w:val="00E31B43"/>
    <w:rsid w:val="00E33399"/>
    <w:rsid w:val="00E7332D"/>
    <w:rsid w:val="00ED072B"/>
    <w:rsid w:val="00EE46F2"/>
    <w:rsid w:val="00F1425D"/>
    <w:rsid w:val="00F14EE0"/>
    <w:rsid w:val="00F701E1"/>
    <w:rsid w:val="00FA7DDC"/>
    <w:rsid w:val="00FC2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8D0C"/>
  <w15:docId w15:val="{6F25F484-6525-4282-9CAA-078C316C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79D"/>
    <w:rPr>
      <w:rFonts w:ascii="Calibri" w:eastAsia="宋体" w:hAnsi="Calibri" w:cs="Times New Roman"/>
      <w:sz w:val="18"/>
      <w:szCs w:val="18"/>
    </w:rPr>
  </w:style>
  <w:style w:type="paragraph" w:styleId="a5">
    <w:name w:val="footer"/>
    <w:basedOn w:val="a"/>
    <w:link w:val="a6"/>
    <w:uiPriority w:val="99"/>
    <w:unhideWhenUsed/>
    <w:rsid w:val="00A4179D"/>
    <w:pPr>
      <w:tabs>
        <w:tab w:val="center" w:pos="4153"/>
        <w:tab w:val="right" w:pos="8306"/>
      </w:tabs>
      <w:snapToGrid w:val="0"/>
      <w:jc w:val="left"/>
    </w:pPr>
    <w:rPr>
      <w:sz w:val="18"/>
      <w:szCs w:val="18"/>
    </w:rPr>
  </w:style>
  <w:style w:type="character" w:customStyle="1" w:styleId="a6">
    <w:name w:val="页脚 字符"/>
    <w:basedOn w:val="a0"/>
    <w:link w:val="a5"/>
    <w:uiPriority w:val="99"/>
    <w:rsid w:val="00A4179D"/>
    <w:rPr>
      <w:rFonts w:ascii="Calibri" w:eastAsia="宋体" w:hAnsi="Calibri" w:cs="Times New Roman"/>
      <w:sz w:val="18"/>
      <w:szCs w:val="18"/>
    </w:rPr>
  </w:style>
  <w:style w:type="paragraph" w:styleId="a7">
    <w:name w:val="List Paragraph"/>
    <w:basedOn w:val="a"/>
    <w:uiPriority w:val="34"/>
    <w:qFormat/>
    <w:rsid w:val="00860F62"/>
    <w:pPr>
      <w:ind w:firstLineChars="200" w:firstLine="420"/>
    </w:pPr>
  </w:style>
  <w:style w:type="paragraph" w:styleId="a8">
    <w:name w:val="Balloon Text"/>
    <w:basedOn w:val="a"/>
    <w:link w:val="a9"/>
    <w:uiPriority w:val="99"/>
    <w:semiHidden/>
    <w:unhideWhenUsed/>
    <w:rsid w:val="00893258"/>
    <w:rPr>
      <w:sz w:val="18"/>
      <w:szCs w:val="18"/>
    </w:rPr>
  </w:style>
  <w:style w:type="character" w:customStyle="1" w:styleId="a9">
    <w:name w:val="批注框文本 字符"/>
    <w:basedOn w:val="a0"/>
    <w:link w:val="a8"/>
    <w:uiPriority w:val="99"/>
    <w:semiHidden/>
    <w:rsid w:val="00893258"/>
    <w:rPr>
      <w:rFonts w:ascii="Calibri" w:eastAsia="宋体" w:hAnsi="Calibri" w:cs="Times New Roman"/>
      <w:sz w:val="18"/>
      <w:szCs w:val="18"/>
    </w:rPr>
  </w:style>
  <w:style w:type="paragraph" w:styleId="aa">
    <w:name w:val="annotation text"/>
    <w:basedOn w:val="a"/>
    <w:link w:val="ab"/>
    <w:uiPriority w:val="99"/>
    <w:unhideWhenUsed/>
    <w:rsid w:val="00961551"/>
    <w:pPr>
      <w:jc w:val="left"/>
    </w:pPr>
  </w:style>
  <w:style w:type="character" w:customStyle="1" w:styleId="ab">
    <w:name w:val="批注文字 字符"/>
    <w:basedOn w:val="a0"/>
    <w:link w:val="aa"/>
    <w:uiPriority w:val="99"/>
    <w:rsid w:val="00961551"/>
    <w:rPr>
      <w:rFonts w:ascii="Calibri" w:eastAsia="宋体" w:hAnsi="Calibri" w:cs="Times New Roman"/>
    </w:rPr>
  </w:style>
  <w:style w:type="character" w:styleId="ac">
    <w:name w:val="annotation reference"/>
    <w:basedOn w:val="a0"/>
    <w:uiPriority w:val="99"/>
    <w:semiHidden/>
    <w:unhideWhenUsed/>
    <w:rsid w:val="00564D1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1529">
      <w:bodyDiv w:val="1"/>
      <w:marLeft w:val="0"/>
      <w:marRight w:val="0"/>
      <w:marTop w:val="0"/>
      <w:marBottom w:val="0"/>
      <w:divBdr>
        <w:top w:val="none" w:sz="0" w:space="0" w:color="auto"/>
        <w:left w:val="none" w:sz="0" w:space="0" w:color="auto"/>
        <w:bottom w:val="none" w:sz="0" w:space="0" w:color="auto"/>
        <w:right w:val="none" w:sz="0" w:space="0" w:color="auto"/>
      </w:divBdr>
    </w:div>
    <w:div w:id="1910925253">
      <w:bodyDiv w:val="1"/>
      <w:marLeft w:val="0"/>
      <w:marRight w:val="0"/>
      <w:marTop w:val="0"/>
      <w:marBottom w:val="0"/>
      <w:divBdr>
        <w:top w:val="none" w:sz="0" w:space="0" w:color="auto"/>
        <w:left w:val="none" w:sz="0" w:space="0" w:color="auto"/>
        <w:bottom w:val="none" w:sz="0" w:space="0" w:color="auto"/>
        <w:right w:val="none" w:sz="0" w:space="0" w:color="auto"/>
      </w:divBdr>
    </w:div>
    <w:div w:id="19470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1679</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2018-05-22T07:12:00Z</dcterms:created>
  <dc:creator>zf</dc:creator>
  <cp:lastModifiedBy>吴立平</cp:lastModifiedBy>
  <dcterms:modified xsi:type="dcterms:W3CDTF">2022-02-09T10:19:00Z</dcterms:modified>
  <cp:revision>88</cp:revision>
</cp:coreProperties>
</file>