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139"/>
        <w:gridCol w:w="303"/>
        <w:gridCol w:w="1115"/>
        <w:gridCol w:w="283"/>
        <w:gridCol w:w="44"/>
        <w:gridCol w:w="1442"/>
        <w:gridCol w:w="357"/>
        <w:gridCol w:w="142"/>
        <w:gridCol w:w="709"/>
        <w:gridCol w:w="708"/>
        <w:gridCol w:w="284"/>
        <w:gridCol w:w="1134"/>
        <w:gridCol w:w="992"/>
      </w:tblGrid>
      <w:tr w:rsidR="00976DD8" w:rsidRPr="00535A79" w14:paraId="21CD5C3E"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3F90"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钱潮系列1号21076期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04C14751"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E5883B3"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AA96843"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A76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9F6C327" w14:textId="77777777" w:rsidR="00976DD8" w:rsidRPr="00535A79" w:rsidRDefault="0070399A"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钱潮系列1号21076期</w:t>
            </w:r>
          </w:p>
        </w:tc>
      </w:tr>
      <w:tr w:rsidR="00976DD8" w:rsidRPr="00535A79" w14:paraId="71E7900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BBEA"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362D73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CC21076</w:t>
            </w:r>
          </w:p>
        </w:tc>
      </w:tr>
      <w:tr w:rsidR="00976DD8" w:rsidRPr="00535A79" w14:paraId="7156C5A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531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7B90DE4"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C1092921000068</w:t>
            </w:r>
          </w:p>
        </w:tc>
      </w:tr>
      <w:tr w:rsidR="00976DD8" w:rsidRPr="00535A79" w14:paraId="09E5ED83"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ACF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DF9F98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人民币(CNY)</w:t>
            </w:r>
          </w:p>
        </w:tc>
      </w:tr>
      <w:tr w:rsidR="00976DD8" w:rsidRPr="00535A79" w14:paraId="7D8AA5D6"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62A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376782"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2021-05-06</w:t>
            </w:r>
          </w:p>
        </w:tc>
      </w:tr>
      <w:tr w:rsidR="00976DD8" w:rsidRPr="00535A79" w14:paraId="479D9CF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90B1C"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4FC217E"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2023-04-27</w:t>
            </w:r>
          </w:p>
        </w:tc>
      </w:tr>
      <w:tr w:rsidR="00E7332D" w:rsidRPr="00535A79" w14:paraId="38E3E3D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806F"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C9AC77D" w14:textId="77777777" w:rsidR="00E7332D" w:rsidRPr="00535A79" w:rsidRDefault="00E7332D"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66360000.00</w:t>
            </w:r>
          </w:p>
        </w:tc>
      </w:tr>
      <w:tr w:rsidR="00E7332D" w:rsidRPr="00535A79" w14:paraId="6CE1A6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8C2B8"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42B9D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2022-03-31</w:t>
            </w:r>
          </w:p>
        </w:tc>
      </w:tr>
      <w:tr w:rsidR="00E7332D" w:rsidRPr="00535A79" w14:paraId="756ED5C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84A9"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AE1BD7" w14:textId="77777777" w:rsidR="00E7332D" w:rsidRPr="00535A79" w:rsidRDefault="00E7332D"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4.35%</w:t>
            </w:r>
          </w:p>
        </w:tc>
      </w:tr>
      <w:tr w:rsidR="00EE46F2" w:rsidRPr="00535A79" w14:paraId="1522E1F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28DB" w14:textId="77777777"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588333F" w14:textId="77777777" w:rsidR="00EE46F2" w:rsidRPr="00535A79" w:rsidRDefault="00EE46F2"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1.03932877</w:t>
            </w:r>
          </w:p>
        </w:tc>
      </w:tr>
      <w:tr w:rsidR="00EE46F2" w:rsidRPr="00535A79" w14:paraId="53B2A06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622D" w14:textId="77777777"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8774C30" w14:textId="77777777" w:rsidR="00EE46F2" w:rsidRPr="00535A79" w:rsidRDefault="00EE46F2"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1.03932877</w:t>
            </w:r>
          </w:p>
        </w:tc>
      </w:tr>
      <w:tr w:rsidR="00EE46F2" w:rsidRPr="00535A79" w14:paraId="0F722556"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AC5E" w14:textId="77777777"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24440AF" w14:textId="77777777" w:rsidR="00EE46F2" w:rsidRPr="00535A79" w:rsidRDefault="00EE46F2"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68969856.99</w:t>
            </w:r>
          </w:p>
        </w:tc>
      </w:tr>
      <w:tr w:rsidR="00976DD8" w:rsidRPr="00535A79" w14:paraId="440F784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0F0AB8"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11B0159"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公募</w:t>
            </w:r>
          </w:p>
        </w:tc>
      </w:tr>
      <w:tr w:rsidR="00976DD8" w:rsidRPr="00535A79" w14:paraId="23DDF4E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5A6B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25A78ED"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固定收益类</w:t>
            </w:r>
          </w:p>
        </w:tc>
      </w:tr>
      <w:tr w:rsidR="00976DD8" w:rsidRPr="00535A79" w14:paraId="384A2673"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88BAC"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E30BD9"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封闭式</w:t>
            </w:r>
          </w:p>
        </w:tc>
      </w:tr>
      <w:tr w:rsidR="00976DD8" w:rsidRPr="00535A79" w14:paraId="4EE08A8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1E079"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FD3B81" w14:textId="77777777" w:rsidR="00976DD8" w:rsidRPr="00535A79" w:rsidRDefault="00976DD8" w:rsidP="004B1861">
            <w:pPr>
              <w:widowControl/>
              <w:jc w:val="left"/>
              <w:rPr>
                <w:rFonts w:ascii="黑体" w:eastAsia="黑体" w:hAnsi="黑体" w:cs="宋体"/>
                <w:color w:val="000000"/>
                <w:kern w:val="0"/>
                <w:sz w:val="18"/>
                <w:szCs w:val="18"/>
              </w:rPr>
            </w:pPr>
            <w:r>
              <w:rPr>
                <w:rFonts w:ascii="黑体" w:eastAsia="黑体" w:hAnsi="黑体" w:cs="黑体"/>
                <w:color w:val="000000"/>
                <w:sz w:val="18"/>
              </w:rPr>
              <w:t>中国邮政储蓄银行股份有限公司</w:t>
            </w:r>
          </w:p>
        </w:tc>
      </w:tr>
      <w:tr w:rsidR="00976DD8" w:rsidRPr="00535A79" w14:paraId="7F805F30"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72EF52C"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34D11C30"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0BC34"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FA126C0"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3CAC"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513" w:type="dxa"/>
            <w:gridSpan w:val="12"/>
            <w:tcBorders>
              <w:top w:val="single" w:sz="4" w:space="0" w:color="auto"/>
              <w:left w:val="nil"/>
              <w:bottom w:val="single" w:sz="4" w:space="0" w:color="auto"/>
              <w:right w:val="single" w:sz="4" w:space="0" w:color="auto"/>
            </w:tcBorders>
            <w:shd w:val="clear" w:color="auto" w:fill="auto"/>
            <w:vAlign w:val="center"/>
            <w:hideMark/>
          </w:tcPr>
          <w:p w14:paraId="29AB6728" w14:textId="77777777"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100.26%</w:t>
            </w:r>
          </w:p>
        </w:tc>
      </w:tr>
      <w:tr w:rsidR="00976DD8" w:rsidRPr="00535A79" w14:paraId="5BFE933B"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5696"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64B41185"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1700"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476294E"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441B41B2" w14:textId="77777777"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63872953"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0FC92"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5B66467"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41368488" w14:textId="77777777"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99.99</w:t>
            </w:r>
          </w:p>
        </w:tc>
      </w:tr>
      <w:tr w:rsidR="008C6018" w14:paraId="2971C3FC"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93FC6"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2</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C207AFA"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451A9FD0"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0.01</w:t>
            </w:r>
          </w:p>
        </w:tc>
      </w:tr>
      <w:tr w:rsidR="008C6018" w14:paraId="1F28B918"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50B9"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3</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EBD8931"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w:t>
            </w:r>
            <w:r>
              <w:rPr>
                <w:rFonts w:ascii="黑体" w:eastAsia="黑体" w:hAnsi="黑体" w:cs="Arial" w:hint="eastAsia"/>
                <w:sz w:val="18"/>
                <w:szCs w:val="18"/>
              </w:rPr>
              <w:t>ABS</w:t>
            </w:r>
            <w:r>
              <w:rPr>
                <w:rFonts w:ascii="黑体" w:eastAsia="黑体" w:hAnsi="黑体" w:cs="Arial" w:hint="eastAsia"/>
                <w:sz w:val="18"/>
                <w:szCs w:val="18"/>
              </w:rPr>
              <w:t>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484521A6"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8C6018" w14:paraId="0DBA7673"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94BF"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4</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6CC46B14"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464CDCAB"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8C6018" w14:paraId="50809BB6"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C396"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5</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5F8238F7"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21D05604"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8C6018" w14:paraId="02AACF88"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28129"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6</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C81FF40"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622A0FBE"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8C6018" w14:paraId="3FFDA1E4"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5045"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7</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45C6C4C"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68B34226"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8C6018" w14:paraId="211105E3" w14:textId="77777777" w:rsidTr="00AE4A65">
        <w:trPr>
          <w:trHeight w:val="614"/>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8BDD" w14:textId="77777777" w:rsidR="008C6018" w:rsidRDefault="00743D58">
            <w:pPr>
              <w:jc w:val="center"/>
              <w:rPr>
                <w:rFonts w:ascii="黑体" w:eastAsia="黑体" w:hAnsi="黑体" w:cs="Arial"/>
                <w:sz w:val="18"/>
                <w:szCs w:val="18"/>
              </w:rPr>
            </w:pPr>
            <w:r>
              <w:rPr>
                <w:rFonts w:ascii="黑体" w:eastAsia="黑体" w:hAnsi="黑体" w:cs="Arial" w:hint="eastAsia"/>
                <w:sz w:val="18"/>
                <w:szCs w:val="18"/>
              </w:rPr>
              <w:t>8</w:t>
            </w:r>
          </w:p>
        </w:tc>
        <w:tc>
          <w:tcPr>
            <w:tcW w:w="368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45A3D35"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64EADC44"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2DB1A81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91B6"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6D254256" w14:textId="77777777" w:rsidTr="00AE4A65">
        <w:trPr>
          <w:trHeight w:val="46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644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6D808"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0A80A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54C2C"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09D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D02E" w14:textId="77777777"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AE4A65" w:rsidRPr="00535A79" w14:paraId="2A284A6A"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BDF9" w14:textId="77777777" w:rsidR="00AE4A65" w:rsidRPr="00535A79" w:rsidRDefault="00AE4A65" w:rsidP="00AE4A65">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bookmarkStart w:id="0" w:name="OLE_LINK1"/>
            <w:bookmarkEnd w:id="0"/>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E67A" w14:textId="0A4ABD15"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浙江玮龙建设</w:t>
            </w:r>
            <w:r>
              <w:rPr>
                <w:rFonts w:ascii="微软雅黑" w:eastAsia="微软雅黑" w:hAnsi="微软雅黑" w:hint="eastAsia"/>
                <w:sz w:val="18"/>
                <w:szCs w:val="18"/>
              </w:rPr>
              <w:lastRenderedPageBreak/>
              <w:t>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E8BB2C" w14:textId="77777777" w:rsidR="00AE4A65" w:rsidRPr="00535A79" w:rsidRDefault="00AE4A65" w:rsidP="00AE4A65">
            <w:pPr>
              <w:widowControl/>
              <w:rPr>
                <w:rFonts w:ascii="黑体" w:eastAsia="黑体" w:hAnsi="黑体" w:cs="宋体"/>
                <w:color w:val="000000"/>
                <w:kern w:val="0"/>
                <w:sz w:val="18"/>
                <w:szCs w:val="18"/>
              </w:rPr>
            </w:pPr>
            <w:r>
              <w:rPr>
                <w:rFonts w:ascii="黑体" w:eastAsia="黑体" w:hAnsi="黑体" w:cs="宋体" w:hint="eastAsia"/>
                <w:color w:val="000000"/>
                <w:kern w:val="0"/>
                <w:sz w:val="18"/>
                <w:szCs w:val="18"/>
              </w:rPr>
              <w:lastRenderedPageBreak/>
              <w:t>厦门信托-普惠小微服务信托计划</w:t>
            </w:r>
            <w:r>
              <w:rPr>
                <w:rFonts w:ascii="黑体" w:eastAsia="黑体" w:hAnsi="黑体" w:cs="宋体" w:hint="eastAsia"/>
                <w:color w:val="000000"/>
                <w:kern w:val="0"/>
                <w:sz w:val="18"/>
                <w:szCs w:val="18"/>
              </w:rPr>
              <w:lastRenderedPageBreak/>
              <w:t>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1738E" w14:textId="77777777" w:rsidR="00AE4A65" w:rsidRPr="00535A79"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lastRenderedPageBreak/>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EFFE" w14:textId="6AEB6D94" w:rsidR="00AE4A65" w:rsidRPr="00535A79"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C234" w14:textId="42B443F7" w:rsidR="00AE4A65" w:rsidRPr="00535A79"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到期一次</w:t>
            </w:r>
            <w:r>
              <w:rPr>
                <w:rFonts w:ascii="黑体" w:eastAsia="黑体" w:hAnsi="黑体" w:cs="宋体" w:hint="eastAsia"/>
                <w:color w:val="000000"/>
                <w:kern w:val="0"/>
                <w:sz w:val="18"/>
                <w:szCs w:val="18"/>
              </w:rPr>
              <w:lastRenderedPageBreak/>
              <w:t>性分配</w:t>
            </w:r>
          </w:p>
        </w:tc>
      </w:tr>
      <w:tr w:rsidR="00AE4A65" w:rsidRPr="00535A79" w14:paraId="3E1EF5F6"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4A259" w14:textId="62223D70" w:rsidR="00AE4A65" w:rsidRPr="00535A79"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lastRenderedPageBreak/>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4FEC8" w14:textId="70448852"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浙江豪达市政工程有限公司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1F1F50" w14:textId="611FFCAD"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01260B" w14:textId="232D5D1B"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D2FA3" w14:textId="1E5989A3"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B97089" w14:textId="6C01E7DC"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rsidRPr="00535A79" w14:paraId="357F6903"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1674D" w14:textId="569BD112" w:rsidR="00AE4A65" w:rsidRPr="00535A79"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D4C4D9" w14:textId="102EACC0"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台州承远建筑设备租赁有限公司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90846F" w14:textId="2028E539"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357ABA" w14:textId="5BEE90C0"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B21AB1" w14:textId="6A33F5CE"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6F26E" w14:textId="6669DACB"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rsidRPr="00535A79" w14:paraId="55A9D727"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F0AD8" w14:textId="32B08225" w:rsidR="00AE4A65" w:rsidRPr="00535A79"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3FB404" w14:textId="69A5F812"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杭州捍华科技有限公司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E9FC75" w14:textId="05FB7A5D"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86E9DA" w14:textId="1B91E262"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C5FF66" w14:textId="46A67D9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E3D688" w14:textId="7C2D590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rsidRPr="00535A79" w14:paraId="41543EED"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D559C" w14:textId="387DA0C8" w:rsidR="00AE4A65" w:rsidRPr="00535A79"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9A3CDA" w14:textId="1F2ABED5"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杭州裕恒食品有限公司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1D68B7" w14:textId="72BD6ACF"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6EF26" w14:textId="67B77E68"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16742" w14:textId="05795BB0"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F342BD" w14:textId="1BBF24BD"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rsidRPr="00535A79" w14:paraId="75AE8824"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6273" w14:textId="468DDC3E" w:rsidR="00AE4A65" w:rsidRPr="00535A79"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0BA607" w14:textId="45E7A142" w:rsidR="00AE4A65" w:rsidRPr="00535A79"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义乌市温尔思针织有限公司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ED229F" w14:textId="0EF12A2D"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5623EC" w14:textId="54EBA6B6"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CFFCF" w14:textId="6F676DF4"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154" w14:textId="6DF221AC"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6812B639"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925B" w14:textId="57E3CDC6"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A2B2" w14:textId="293E5104"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温岭市京辉食品有限公司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70673E" w14:textId="77777777" w:rsidR="00AE4A65" w:rsidRDefault="00AE4A65" w:rsidP="00AE4A65">
            <w:pPr>
              <w:widowControl/>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厦门信托-普惠小微服务信托计划第22期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BAE6" w14:textId="77777777"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C952" w14:textId="39881E28"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185F" w14:textId="47F80078"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到期一次性分配</w:t>
            </w:r>
          </w:p>
        </w:tc>
      </w:tr>
      <w:tr w:rsidR="00AE4A65" w14:paraId="443AC8EA"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78E5E" w14:textId="5959FCF8"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6D9174" w14:textId="56B6E0AA"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武义建翔机械有限公司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71D8CB" w14:textId="4B7C9E0C"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厦门信托-普惠小微服务信托计划第22期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96D2CB" w14:textId="06C80BC1"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217091" w14:textId="437792F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834B6" w14:textId="5D4E4C92"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29CB3663"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2F1BA" w14:textId="6C4AA05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906AE6" w14:textId="40D5CE46"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湖州南浔菱湖明兴丝织厂</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61DCFD" w14:textId="1FDC6F62"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厦门信托-普惠小微服务信托计划第22期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678ACF" w14:textId="66A9BD1E"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50A2D" w14:textId="18C922C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A45E87" w14:textId="7748284C"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45656706"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21061" w14:textId="4D3098A8"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9B103C" w14:textId="65571836"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舟山市普陀区传永水产品经营部</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AB413" w14:textId="263EDD0D"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厦门信托-普惠小微服务信托计划第22期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6B146B" w14:textId="54B315DC"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391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B2CB5" w14:textId="755A867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EDB71" w14:textId="2CE57280"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6509FFF4"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58E03" w14:textId="791A7D38"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D2BE" w14:textId="07491F4C"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苏州瑞扬电子材料有限公司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F2B211" w14:textId="77777777" w:rsidR="00AE4A65" w:rsidRDefault="00AE4A65" w:rsidP="00AE4A65">
            <w:pPr>
              <w:widowControl/>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61782" w14:textId="77777777"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AE32" w14:textId="0886C1FC"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77115" w14:textId="2846111F" w:rsidR="00AE4A65" w:rsidRDefault="00AE4A65" w:rsidP="00AE4A65">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到期一次性分配</w:t>
            </w:r>
          </w:p>
        </w:tc>
      </w:tr>
      <w:tr w:rsidR="00AE4A65" w14:paraId="04E0F3C8"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14E0C" w14:textId="04B1F2BF"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EBE3D9" w14:textId="1B424F00"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苏州华益优品商贸有限公司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90CC3B" w14:textId="59F36995"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7C974" w14:textId="6A265F8E"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82EB2" w14:textId="5D2CB00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244E69" w14:textId="166A473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5AE9D52D"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513F" w14:textId="39E5CEA3"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96BEFE" w14:textId="59DD62CE"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龙泉市王鹏木制品加工厂</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2A0E16" w14:textId="063B3C83"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B268D" w14:textId="298D292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2D0C9" w14:textId="2770CCE2"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004F2A" w14:textId="2D70BC6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44CF23F1"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23DAC" w14:textId="503858CD"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24C499" w14:textId="1D244E55"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丽水市莲都区廖伟平零食店</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972EF8" w14:textId="58F8FED4"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F1D701" w14:textId="6355006D"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22552" w14:textId="4EFE47A3"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EE7A1A" w14:textId="0C0F239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1B5615AF"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0DA70" w14:textId="2FD384F8"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390168" w14:textId="14DDD006"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丽水宏汇建设有限公司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F7E366" w14:textId="3BD5167F"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B9A1F" w14:textId="78CCDA4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45779" w14:textId="65DED552"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8CB058" w14:textId="30AA8AA0"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7DD1A8DD"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06047" w14:textId="15CDF19E"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A5B3C" w14:textId="1C82320D"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云和赛诺玩具有限公司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AE5A9" w14:textId="1994DBD1"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A96E91" w14:textId="7EC1A38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3995A" w14:textId="65ABAAF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1EE205" w14:textId="05CAAAAA"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4D57B586"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C1863" w14:textId="42EBADF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F08EFE" w14:textId="49C6D538"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云和县文泰玩具有限公司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AA7805" w14:textId="4B01E292"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B382D" w14:textId="225DD854"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6E074" w14:textId="0540C77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4D8E45" w14:textId="2130D582"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4D5A12E0"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352A5" w14:textId="087A0D01"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665B9C" w14:textId="6BEE9D88"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景宁梓晴金店</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D53714" w14:textId="697B9552"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AED814" w14:textId="451C545D"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43AA1" w14:textId="6ADD4B00"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F146" w14:textId="46932953"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3F7649B8"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0FCB5" w14:textId="4E6F68C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1</w:t>
            </w:r>
            <w:r>
              <w:rPr>
                <w:rFonts w:ascii="黑体" w:eastAsia="黑体" w:hAnsi="黑体" w:cs="宋体"/>
                <w:color w:val="000000"/>
                <w:kern w:val="0"/>
                <w:sz w:val="18"/>
                <w:szCs w:val="18"/>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BB60A7" w14:textId="3C1E6297"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浙江恩加智能科技有限公司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77C9A6" w14:textId="16A52567"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7FBD1E" w14:textId="5898A87F"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87239C" w14:textId="7385064C"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6DC6F3" w14:textId="514F7C9B"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17DC0411"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3B7E1" w14:textId="4708B309"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2</w:t>
            </w:r>
            <w:r>
              <w:rPr>
                <w:rFonts w:ascii="黑体" w:eastAsia="黑体" w:hAnsi="黑体" w:cs="宋体"/>
                <w:color w:val="000000"/>
                <w:kern w:val="0"/>
                <w:sz w:val="18"/>
                <w:szCs w:val="18"/>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A20921" w14:textId="74B9222E"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浙江非王泵阀有限公司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52163" w14:textId="716C2ED5"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1EAA1B" w14:textId="5E4D8A21"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70B12B" w14:textId="5FB8EB6E"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496CB4" w14:textId="542CB3D3"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AE4A65" w14:paraId="45BA937E" w14:textId="77777777" w:rsidTr="00AE4A65">
        <w:trPr>
          <w:trHeight w:val="27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58984" w14:textId="48CD0118"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2</w:t>
            </w:r>
            <w:r>
              <w:rPr>
                <w:rFonts w:ascii="黑体" w:eastAsia="黑体" w:hAnsi="黑体" w:cs="宋体"/>
                <w:color w:val="000000"/>
                <w:kern w:val="0"/>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795722" w14:textId="7D612B0E" w:rsidR="00AE4A65" w:rsidRDefault="00AE4A65" w:rsidP="00AE4A65">
            <w:pPr>
              <w:widowControl/>
              <w:jc w:val="center"/>
              <w:rPr>
                <w:rFonts w:ascii="黑体" w:eastAsia="黑体" w:hAnsi="黑体" w:cs="宋体"/>
                <w:color w:val="000000"/>
                <w:kern w:val="0"/>
                <w:sz w:val="18"/>
                <w:szCs w:val="18"/>
              </w:rPr>
            </w:pPr>
            <w:r>
              <w:rPr>
                <w:rFonts w:ascii="微软雅黑" w:eastAsia="微软雅黑" w:hAnsi="微软雅黑" w:hint="eastAsia"/>
                <w:sz w:val="18"/>
                <w:szCs w:val="18"/>
              </w:rPr>
              <w:t>缙云伟科贸易有限公司</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108672" w14:textId="51FB8FD3" w:rsidR="00AE4A65" w:rsidRDefault="00AE4A65" w:rsidP="00AE4A65">
            <w:pPr>
              <w:widowControl/>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厦门信托-普惠小微服务信托计划第25期</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02AE1C" w14:textId="3AC97A41"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E5B30" w14:textId="5E63D8F7"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信托贷款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D1350" w14:textId="37877544" w:rsidR="00AE4A65" w:rsidRDefault="00AE4A65" w:rsidP="00AE4A65">
            <w:pPr>
              <w:widowControl/>
              <w:jc w:val="center"/>
              <w:rPr>
                <w:rFonts w:ascii="黑体" w:eastAsia="黑体" w:hAnsi="黑体" w:cs="宋体" w:hint="eastAsia"/>
                <w:color w:val="000000"/>
                <w:kern w:val="0"/>
                <w:sz w:val="18"/>
                <w:szCs w:val="18"/>
              </w:rPr>
            </w:pPr>
            <w:r>
              <w:rPr>
                <w:rFonts w:ascii="黑体" w:eastAsia="黑体" w:hAnsi="黑体" w:cs="宋体" w:hint="eastAsia"/>
                <w:color w:val="000000"/>
                <w:kern w:val="0"/>
                <w:sz w:val="18"/>
                <w:szCs w:val="18"/>
              </w:rPr>
              <w:t>到期一次性分配</w:t>
            </w:r>
          </w:p>
        </w:tc>
      </w:tr>
      <w:tr w:rsidR="00976DD8" w:rsidRPr="00535A79" w14:paraId="4B85DB5A"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1EDD"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3A626D3E" w14:textId="77777777" w:rsidTr="00AE4A65">
        <w:trPr>
          <w:trHeight w:val="45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693CE814" w14:textId="77777777"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lastRenderedPageBreak/>
              <w:t>序号</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60A0460B"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ABFAB8" w14:textId="7777777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03BE662D"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000AD871" w14:textId="77777777" w:rsidTr="00AE4A65">
        <w:trPr>
          <w:trHeight w:val="8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6D05B365"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0EC01BA9"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厦门信托-普惠小微服务信托计划第15期</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F1E082"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30,137,160.83</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2C3ECB52"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43.58</w:t>
            </w:r>
          </w:p>
        </w:tc>
      </w:tr>
      <w:tr w:rsidR="008C6018" w14:paraId="4007BCF5" w14:textId="77777777" w:rsidTr="00AE4A65">
        <w:trPr>
          <w:trHeight w:val="8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3B1E1DC0"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681929"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w:t>
            </w:r>
            <w:r>
              <w:rPr>
                <w:rFonts w:ascii="黑体" w:eastAsia="黑体" w:hAnsi="黑体" w:cs="宋体" w:hint="eastAsia"/>
                <w:color w:val="000000"/>
                <w:kern w:val="0"/>
                <w:sz w:val="18"/>
                <w:szCs w:val="18"/>
              </w:rPr>
              <w:t>-</w:t>
            </w:r>
            <w:r>
              <w:rPr>
                <w:rFonts w:ascii="黑体" w:eastAsia="黑体" w:hAnsi="黑体" w:cs="宋体" w:hint="eastAsia"/>
                <w:color w:val="000000"/>
                <w:kern w:val="0"/>
                <w:sz w:val="18"/>
                <w:szCs w:val="18"/>
              </w:rPr>
              <w:t>普惠小微服务信托计划第</w:t>
            </w:r>
            <w:r>
              <w:rPr>
                <w:rFonts w:ascii="黑体" w:eastAsia="黑体" w:hAnsi="黑体" w:cs="宋体" w:hint="eastAsia"/>
                <w:color w:val="000000"/>
                <w:kern w:val="0"/>
                <w:sz w:val="18"/>
                <w:szCs w:val="18"/>
              </w:rPr>
              <w:t>25</w:t>
            </w:r>
            <w:r>
              <w:rPr>
                <w:rFonts w:ascii="黑体" w:eastAsia="黑体" w:hAnsi="黑体" w:cs="宋体" w:hint="eastAsia"/>
                <w:color w:val="000000"/>
                <w:kern w:val="0"/>
                <w:sz w:val="18"/>
                <w:szCs w:val="18"/>
              </w:rPr>
              <w:t>期</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99E2CE" w14:textId="77777777" w:rsidR="008C6018" w:rsidRDefault="00743D58">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21,020,737.50</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39ED96B" w14:textId="77777777" w:rsidR="008C6018" w:rsidRDefault="00743D58">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30.40</w:t>
            </w:r>
          </w:p>
        </w:tc>
      </w:tr>
      <w:tr w:rsidR="008C6018" w14:paraId="2F14FC06" w14:textId="77777777" w:rsidTr="00AE4A65">
        <w:trPr>
          <w:trHeight w:val="8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03E8C9BD"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14901D1F"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w:t>
            </w:r>
            <w:r>
              <w:rPr>
                <w:rFonts w:ascii="黑体" w:eastAsia="黑体" w:hAnsi="黑体" w:cs="宋体" w:hint="eastAsia"/>
                <w:color w:val="000000"/>
                <w:kern w:val="0"/>
                <w:sz w:val="18"/>
                <w:szCs w:val="18"/>
              </w:rPr>
              <w:t>-</w:t>
            </w:r>
            <w:r>
              <w:rPr>
                <w:rFonts w:ascii="黑体" w:eastAsia="黑体" w:hAnsi="黑体" w:cs="宋体" w:hint="eastAsia"/>
                <w:color w:val="000000"/>
                <w:kern w:val="0"/>
                <w:sz w:val="18"/>
                <w:szCs w:val="18"/>
              </w:rPr>
              <w:t>普惠小微服务信托计划第</w:t>
            </w:r>
            <w:r>
              <w:rPr>
                <w:rFonts w:ascii="黑体" w:eastAsia="黑体" w:hAnsi="黑体" w:cs="宋体" w:hint="eastAsia"/>
                <w:color w:val="000000"/>
                <w:kern w:val="0"/>
                <w:sz w:val="18"/>
                <w:szCs w:val="18"/>
              </w:rPr>
              <w:t>22</w:t>
            </w:r>
            <w:r>
              <w:rPr>
                <w:rFonts w:ascii="黑体" w:eastAsia="黑体" w:hAnsi="黑体" w:cs="宋体" w:hint="eastAsia"/>
                <w:color w:val="000000"/>
                <w:kern w:val="0"/>
                <w:sz w:val="18"/>
                <w:szCs w:val="18"/>
              </w:rPr>
              <w:t>期</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B9F058" w14:textId="77777777" w:rsidR="008C6018" w:rsidRDefault="00743D58">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13,152,956.82</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346681D" w14:textId="77777777" w:rsidR="008C6018" w:rsidRDefault="00743D58">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19.02</w:t>
            </w:r>
          </w:p>
        </w:tc>
      </w:tr>
      <w:tr w:rsidR="008C6018" w14:paraId="21B5BF91" w14:textId="77777777" w:rsidTr="00AE4A65">
        <w:trPr>
          <w:trHeight w:val="8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531543B3"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1D31BD7"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w:t>
            </w:r>
            <w:r>
              <w:rPr>
                <w:rFonts w:ascii="黑体" w:eastAsia="黑体" w:hAnsi="黑体" w:cs="宋体" w:hint="eastAsia"/>
                <w:color w:val="000000"/>
                <w:kern w:val="0"/>
                <w:sz w:val="18"/>
                <w:szCs w:val="18"/>
              </w:rPr>
              <w:t>-</w:t>
            </w:r>
            <w:r>
              <w:rPr>
                <w:rFonts w:ascii="黑体" w:eastAsia="黑体" w:hAnsi="黑体" w:cs="宋体" w:hint="eastAsia"/>
                <w:color w:val="000000"/>
                <w:kern w:val="0"/>
                <w:sz w:val="18"/>
                <w:szCs w:val="18"/>
              </w:rPr>
              <w:t>鹭隆</w:t>
            </w:r>
            <w:r>
              <w:rPr>
                <w:rFonts w:ascii="黑体" w:eastAsia="黑体" w:hAnsi="黑体" w:cs="宋体" w:hint="eastAsia"/>
                <w:color w:val="000000"/>
                <w:kern w:val="0"/>
                <w:sz w:val="18"/>
                <w:szCs w:val="18"/>
              </w:rPr>
              <w:t>2001</w:t>
            </w:r>
            <w:r>
              <w:rPr>
                <w:rFonts w:ascii="黑体" w:eastAsia="黑体" w:hAnsi="黑体" w:cs="宋体" w:hint="eastAsia"/>
                <w:color w:val="000000"/>
                <w:kern w:val="0"/>
                <w:sz w:val="18"/>
                <w:szCs w:val="18"/>
              </w:rPr>
              <w:t>号集合信托计划</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E003F0" w14:textId="77777777" w:rsidR="008C6018" w:rsidRDefault="00743D58">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4,837,254.30</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F03D958" w14:textId="77777777" w:rsidR="008C6018" w:rsidRDefault="00743D58">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7.00</w:t>
            </w:r>
          </w:p>
        </w:tc>
      </w:tr>
      <w:tr w:rsidR="008C6018" w14:paraId="337A42A8" w14:textId="77777777" w:rsidTr="00AE4A65">
        <w:trPr>
          <w:trHeight w:val="8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5482D2CD"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w:t>
            </w:r>
          </w:p>
        </w:tc>
        <w:tc>
          <w:tcPr>
            <w:tcW w:w="3544" w:type="dxa"/>
            <w:gridSpan w:val="6"/>
            <w:tcBorders>
              <w:top w:val="single" w:sz="4" w:space="0" w:color="auto"/>
              <w:left w:val="nil"/>
              <w:bottom w:val="single" w:sz="4" w:space="0" w:color="auto"/>
              <w:right w:val="single" w:sz="4" w:space="0" w:color="auto"/>
            </w:tcBorders>
            <w:shd w:val="clear" w:color="auto" w:fill="auto"/>
            <w:noWrap/>
            <w:vAlign w:val="center"/>
            <w:hideMark/>
          </w:tcPr>
          <w:p w14:paraId="39DDD3FF" w14:textId="77777777" w:rsidR="008C6018" w:rsidRDefault="00743D58">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现金</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1AA918" w14:textId="77777777" w:rsidR="008C6018" w:rsidRDefault="00743D58">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3,758.27</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2FD5ADD3" w14:textId="77777777" w:rsidR="008C6018" w:rsidRDefault="00743D58">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0.01</w:t>
            </w:r>
          </w:p>
        </w:tc>
      </w:tr>
      <w:tr w:rsidR="00976DD8" w:rsidRPr="00535A79" w14:paraId="0794A875"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745BFA0D"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7C56D55F"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D0F3AFC" w14:textId="77777777"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EF3E5E5"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A449938"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备注：</w:t>
            </w:r>
          </w:p>
          <w:p w14:paraId="24B6CEFD"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142F8AFE" w14:textId="77777777"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1ABF846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DC78829" w14:textId="77777777"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C27AF0F"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04758D5" w14:textId="77777777"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2864883"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9739775"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46045088" w14:textId="77777777" w:rsidTr="00174F1C">
        <w:trPr>
          <w:trHeight w:val="375"/>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98775F"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82850AE" w14:textId="77777777" w:rsidR="008F44C5" w:rsidRPr="00ED072B" w:rsidRDefault="008F44C5" w:rsidP="008F44C5">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DABDC8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5382586" w14:textId="77777777" w:rsidR="008F44C5" w:rsidRPr="00ED072B" w:rsidRDefault="008F44C5" w:rsidP="008F44C5">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070FC9DA" w14:textId="77777777" w:rsidTr="00174F1C">
        <w:trPr>
          <w:trHeight w:val="375"/>
        </w:trPr>
        <w:tc>
          <w:tcPr>
            <w:tcW w:w="14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925CDB" w14:textId="77777777" w:rsidR="008F44C5" w:rsidRPr="009933F8" w:rsidRDefault="008F44C5" w:rsidP="00922669">
            <w:pPr>
              <w:widowControl/>
              <w:jc w:val="left"/>
              <w:rPr>
                <w:rFonts w:ascii="黑体" w:eastAsia="黑体" w:hAnsi="黑体" w:cs="宋体"/>
                <w:color w:val="000000"/>
                <w:kern w:val="0"/>
                <w:sz w:val="18"/>
                <w:szCs w:val="18"/>
              </w:rPr>
            </w:pPr>
          </w:p>
        </w:tc>
        <w:tc>
          <w:tcPr>
            <w:tcW w:w="288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001032B"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69,151,867.72</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1E358A6" w14:textId="77777777" w:rsidR="008F44C5" w:rsidRPr="009933F8" w:rsidRDefault="008F44C5" w:rsidP="00922669">
            <w:pPr>
              <w:widowControl/>
              <w:jc w:val="left"/>
              <w:rPr>
                <w:rFonts w:ascii="黑体" w:eastAsia="黑体" w:hAnsi="黑体" w:cs="宋体"/>
                <w:color w:val="000000"/>
                <w:kern w:val="0"/>
                <w:sz w:val="18"/>
                <w:szCs w:val="18"/>
              </w:rPr>
            </w:pP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9CC8B7C"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69,151,867.72</w:t>
            </w:r>
          </w:p>
        </w:tc>
      </w:tr>
      <w:tr w:rsidR="00ED072B" w:rsidRPr="0051248B" w14:paraId="60791202"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3BF6457" w14:textId="77777777"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72D1D5BA"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FB4B6B4"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06D6B56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77014591" w14:textId="77777777" w:rsidR="008F44C5" w:rsidRPr="009933F8" w:rsidRDefault="008F44C5" w:rsidP="008F44C5">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6EF26C34"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5F9EF48" w14:textId="77777777"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105D863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711,779.18</w:t>
            </w:r>
          </w:p>
        </w:tc>
      </w:tr>
      <w:tr w:rsidR="00ED072B" w:rsidRPr="0051248B" w14:paraId="2F3533AD"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52DF5A2" w14:textId="77777777"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1A7DF39C"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270C35F0"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63CF2778"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CF75CB8"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8ACEFC2"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D76DB7D"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390AD3E4"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D2A175D" w14:textId="77777777"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66,360,000.00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2CF0C6B"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2,609,856.99</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C1C69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68,969,856.99</w:t>
            </w:r>
          </w:p>
        </w:tc>
      </w:tr>
      <w:tr w:rsidR="00ED072B" w:rsidRPr="0051248B" w14:paraId="28844308"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F6FA11A" w14:textId="77777777"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7264E138"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750C42A0"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lastRenderedPageBreak/>
              <w:t>中国邮政储蓄银行股份有限公司</w:t>
            </w:r>
            <w:r>
              <w:rPr>
                <w:rFonts w:ascii="黑体" w:eastAsia="黑体" w:hAnsi="黑体" w:cs="黑体"/>
                <w:color w:val="000000"/>
                <w:sz w:val="18"/>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4602ECC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3210D2B" w14:textId="77777777"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79429D67"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8356" w14:textId="77777777" w:rsidR="00743D58" w:rsidRDefault="00743D58" w:rsidP="00A4179D">
      <w:r>
        <w:separator/>
      </w:r>
    </w:p>
  </w:endnote>
  <w:endnote w:type="continuationSeparator" w:id="0">
    <w:p w14:paraId="17C54A9F" w14:textId="77777777" w:rsidR="00743D58" w:rsidRDefault="00743D58"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AEFE" w14:textId="77777777" w:rsidR="00743D58" w:rsidRDefault="00743D58" w:rsidP="00A4179D">
      <w:r>
        <w:separator/>
      </w:r>
    </w:p>
  </w:footnote>
  <w:footnote w:type="continuationSeparator" w:id="0">
    <w:p w14:paraId="499634F1" w14:textId="77777777" w:rsidR="00743D58" w:rsidRDefault="00743D58"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3D58"/>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C6018"/>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AE4A65"/>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73121"/>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甘 子</cp:lastModifiedBy>
  <cp:revision>89</cp:revision>
  <dcterms:created xsi:type="dcterms:W3CDTF">2018-05-22T07:12:00Z</dcterms:created>
  <dcterms:modified xsi:type="dcterms:W3CDTF">2022-04-06T07:02:00Z</dcterms:modified>
</cp:coreProperties>
</file>