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652" w:type="dxa"/>
        <w:tblInd w:w="103" w:type="dxa"/>
        <w:tblLayout w:type="fixed"/>
        <w:tblCellMar>
          <w:top w:w="0" w:type="dxa"/>
          <w:left w:w="108" w:type="dxa"/>
          <w:bottom w:w="0" w:type="dxa"/>
          <w:right w:w="108" w:type="dxa"/>
        </w:tblCellMar>
      </w:tblPr>
      <w:tblGrid>
        <w:gridCol w:w="1236"/>
        <w:gridCol w:w="206"/>
        <w:gridCol w:w="123"/>
        <w:gridCol w:w="907"/>
        <w:gridCol w:w="14"/>
        <w:gridCol w:w="71"/>
        <w:gridCol w:w="327"/>
        <w:gridCol w:w="824"/>
        <w:gridCol w:w="618"/>
        <w:gridCol w:w="357"/>
        <w:gridCol w:w="142"/>
        <w:gridCol w:w="119"/>
        <w:gridCol w:w="590"/>
        <w:gridCol w:w="234"/>
        <w:gridCol w:w="412"/>
        <w:gridCol w:w="62"/>
        <w:gridCol w:w="284"/>
        <w:gridCol w:w="684"/>
        <w:gridCol w:w="206"/>
        <w:gridCol w:w="244"/>
        <w:gridCol w:w="992"/>
      </w:tblGrid>
      <w:tr>
        <w:tblPrEx>
          <w:tblLayout w:type="fixed"/>
          <w:tblCellMar>
            <w:top w:w="0" w:type="dxa"/>
            <w:left w:w="108" w:type="dxa"/>
            <w:bottom w:w="0" w:type="dxa"/>
            <w:right w:w="108" w:type="dxa"/>
          </w:tblCellMar>
        </w:tblPrEx>
        <w:trPr>
          <w:trHeight w:val="285"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w:t>
            </w:r>
            <w:r>
              <w:rPr>
                <w:rFonts w:hint="eastAsia" w:ascii="黑体" w:hAnsi="黑体" w:eastAsia="黑体" w:cs="Calibri"/>
                <w:b/>
                <w:bCs/>
                <w:color w:val="000000"/>
                <w:kern w:val="0"/>
                <w:szCs w:val="21"/>
              </w:rPr>
              <w:t>钱潮系列1号21003期</w:t>
            </w:r>
            <w:r>
              <w:rPr>
                <w:rFonts w:hint="eastAsia" w:ascii="黑体" w:hAnsi="黑体" w:eastAsia="黑体" w:cs="宋体"/>
                <w:b/>
                <w:bCs/>
                <w:color w:val="000000"/>
                <w:kern w:val="0"/>
                <w:szCs w:val="21"/>
              </w:rPr>
              <w:t>”产品运行公告（季报）</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1、理财产品概况</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产品名称</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钱潮系列1号21003期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产品代码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CC21003</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产品登记编码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C1092920000147</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币种</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人民币(CNY)</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产品成立日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2021-01-05</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产品到期日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2022-01-07</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存续规模（份）</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46000000.00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报告日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2021-09-30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业绩比较基准/预期年化收益率</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4.00%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1.02947945</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份额累计净值（元）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1.02947945</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47356054.79</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募集方式</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公募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投资性质</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固定收益类</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产品流动性</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封闭式</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理财资产托管人</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中国邮政储蓄银行股份有限公司</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2、投资组合报告</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 投资组合基本情况</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杠杆水平（%）</w:t>
            </w:r>
          </w:p>
        </w:tc>
        <w:tc>
          <w:tcPr>
            <w:tcW w:w="7087" w:type="dxa"/>
            <w:gridSpan w:val="18"/>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22"/>
              </w:rPr>
            </w:pPr>
            <w:r>
              <w:rPr>
                <w:rFonts w:hint="eastAsia" w:ascii="黑体" w:hAnsi="黑体" w:eastAsia="黑体" w:cs="宋体"/>
                <w:b/>
                <w:bCs/>
                <w:color w:val="000000"/>
                <w:kern w:val="0"/>
                <w:sz w:val="22"/>
              </w:rPr>
              <w:t>100.56%</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 资产配置情况</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资产种类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1</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资产管理产品</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100.00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2</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其他符合监管要求的权益类资产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3</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股票</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4</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5</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现金、货币市场工具类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6</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商品、外汇</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7</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其他符合监管要求的债权类资产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8</w:t>
            </w:r>
          </w:p>
        </w:tc>
        <w:tc>
          <w:tcPr>
            <w:tcW w:w="32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债券、ABS等标准化固定收益资产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2.3 非标准化债权资产明细</w:t>
            </w:r>
          </w:p>
        </w:tc>
      </w:tr>
      <w:tr>
        <w:tblPrEx>
          <w:tblLayout w:type="fixed"/>
          <w:tblCellMar>
            <w:top w:w="0" w:type="dxa"/>
            <w:left w:w="108" w:type="dxa"/>
            <w:bottom w:w="0" w:type="dxa"/>
            <w:right w:w="108" w:type="dxa"/>
          </w:tblCellMar>
        </w:tblPrEx>
        <w:trPr>
          <w:trHeight w:val="465"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融资客户</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项目名称</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剩余融资期限（天）</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交易结构</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到期收益分配</w:t>
            </w:r>
          </w:p>
        </w:tc>
      </w:tr>
      <w:tr>
        <w:tblPrEx>
          <w:tblLayout w:type="fixed"/>
          <w:tblCellMar>
            <w:top w:w="0" w:type="dxa"/>
            <w:left w:w="108" w:type="dxa"/>
            <w:bottom w:w="0" w:type="dxa"/>
            <w:right w:w="108" w:type="dxa"/>
          </w:tblCellMar>
        </w:tblPrEx>
        <w:trPr>
          <w:trHeight w:val="270" w:hRule="atLeast"/>
        </w:trPr>
        <w:tc>
          <w:tcPr>
            <w:tcW w:w="15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bookmarkStart w:id="0" w:name="OLE_LINK1"/>
            <w:bookmarkEnd w:id="0"/>
          </w:p>
        </w:tc>
        <w:tc>
          <w:tcPr>
            <w:tcW w:w="9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18"/>
                <w:szCs w:val="18"/>
              </w:rPr>
            </w:pP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 占产品资产比例大小排序的前十项资产明细</w:t>
            </w:r>
          </w:p>
        </w:tc>
      </w:tr>
      <w:tr>
        <w:tblPrEx>
          <w:tblLayout w:type="fixed"/>
          <w:tblCellMar>
            <w:top w:w="0" w:type="dxa"/>
            <w:left w:w="108" w:type="dxa"/>
            <w:bottom w:w="0" w:type="dxa"/>
            <w:right w:w="108" w:type="dxa"/>
          </w:tblCellMar>
        </w:tblPrEx>
        <w:trPr>
          <w:trHeight w:val="450" w:hRule="atLeast"/>
        </w:trPr>
        <w:tc>
          <w:tcPr>
            <w:tcW w:w="156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11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名称</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lang w:eastAsia="zh-CN"/>
              </w:rPr>
              <w:t>资产余额</w:t>
            </w:r>
            <w:r>
              <w:rPr>
                <w:rFonts w:hint="eastAsia" w:ascii="黑体" w:hAnsi="黑体" w:eastAsia="黑体" w:cs="宋体"/>
                <w:color w:val="000000"/>
                <w:kern w:val="0"/>
                <w:sz w:val="18"/>
                <w:szCs w:val="18"/>
              </w:rPr>
              <w:t>（元）</w:t>
            </w:r>
          </w:p>
        </w:tc>
        <w:tc>
          <w:tcPr>
            <w:tcW w:w="2410" w:type="dxa"/>
            <w:gridSpan w:val="5"/>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840" w:hRule="atLeast"/>
        </w:trPr>
        <w:tc>
          <w:tcPr>
            <w:tcW w:w="156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1</w:t>
            </w:r>
          </w:p>
        </w:tc>
        <w:tc>
          <w:tcPr>
            <w:tcW w:w="311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厦门信托-鹭隆2001号集合信托计划</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47,623,523.04</w:t>
            </w:r>
          </w:p>
        </w:tc>
        <w:tc>
          <w:tcPr>
            <w:tcW w:w="241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18"/>
                <w:szCs w:val="18"/>
              </w:rPr>
              <w:t>100.00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2.5投资组合的流动性风险分析</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w:t>
            </w:r>
          </w:p>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1、上述披露信息为该产品报告日投资情况，该数据仅供参考，实际投资比例以银行投资运作情况为准，泰隆银行对上述披露信息有最终解释权。</w:t>
            </w:r>
          </w:p>
          <w:p>
            <w:pPr>
              <w:widowControl/>
              <w:jc w:val="left"/>
              <w:rPr>
                <w:rFonts w:ascii="黑体" w:hAnsi="黑体" w:eastAsia="黑体" w:cs="宋体"/>
                <w:color w:val="000000"/>
                <w:kern w:val="0"/>
                <w:sz w:val="13"/>
                <w:szCs w:val="13"/>
              </w:rPr>
            </w:pPr>
            <w:r>
              <w:rPr>
                <w:rFonts w:hint="eastAsia" w:ascii="黑体" w:hAnsi="黑体" w:eastAsia="黑体" w:cs="宋体"/>
                <w:color w:val="000000"/>
                <w:kern w:val="0"/>
                <w:sz w:val="18"/>
                <w:szCs w:val="18"/>
              </w:rPr>
              <w:t>2、理财产品托管人</w:t>
            </w:r>
            <w:r>
              <w:rPr>
                <w:rFonts w:ascii="黑体" w:hAnsi="黑体" w:eastAsia="黑体" w:cs="黑体"/>
                <w:color w:val="000000"/>
                <w:sz w:val="18"/>
                <w:u w:val="none"/>
              </w:rPr>
              <w:t>中国邮政储蓄银行股份有限公司根据托管协议规定，复核了本报告中的财务指标、净值表现和投资组合报告等内容，保证复核内容不存在虚假记载、误导性陈述。</w:t>
            </w:r>
          </w:p>
        </w:tc>
      </w:tr>
      <w:tr>
        <w:tblPrEx>
          <w:tblLayout w:type="fixed"/>
          <w:tblCellMar>
            <w:top w:w="0" w:type="dxa"/>
            <w:left w:w="108" w:type="dxa"/>
            <w:bottom w:w="0" w:type="dxa"/>
            <w:right w:w="108" w:type="dxa"/>
          </w:tblCellMar>
        </w:tblPrEx>
        <w:trPr>
          <w:trHeight w:val="561"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bookmarkStart w:id="1" w:name="_Hlk76564588"/>
            <w:r>
              <w:rPr>
                <w:rFonts w:hint="eastAsia" w:ascii="黑体" w:hAnsi="黑体" w:eastAsia="黑体" w:cs="宋体"/>
                <w:b/>
                <w:color w:val="000000"/>
                <w:kern w:val="0"/>
                <w:sz w:val="20"/>
                <w:szCs w:val="20"/>
              </w:rPr>
              <w:t>2.6季度财务会计报告(三表)</w:t>
            </w:r>
          </w:p>
        </w:tc>
      </w:tr>
      <w:tr>
        <w:tblPrEx>
          <w:tblLayout w:type="fixed"/>
          <w:tblCellMar>
            <w:top w:w="0" w:type="dxa"/>
            <w:left w:w="108" w:type="dxa"/>
            <w:bottom w:w="0" w:type="dxa"/>
            <w:right w:w="108" w:type="dxa"/>
          </w:tblCellMar>
        </w:tblPrEx>
        <w:trPr>
          <w:trHeight w:val="424"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2.6.1资负表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bookmarkEnd w:id="1"/>
      <w:tr>
        <w:tblPrEx>
          <w:tblLayout w:type="fixed"/>
          <w:tblCellMar>
            <w:top w:w="0" w:type="dxa"/>
            <w:left w:w="108" w:type="dxa"/>
            <w:bottom w:w="0" w:type="dxa"/>
            <w:right w:w="108" w:type="dxa"/>
          </w:tblCellMar>
        </w:tblPrEx>
        <w:trPr>
          <w:trHeight w:val="375" w:hRule="atLeast"/>
        </w:trPr>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资产</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负债和所有者权益</w:t>
            </w: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r>
      <w:tr>
        <w:tblPrEx>
          <w:tblLayout w:type="fixed"/>
          <w:tblCellMar>
            <w:top w:w="0" w:type="dxa"/>
            <w:left w:w="108" w:type="dxa"/>
            <w:bottom w:w="0" w:type="dxa"/>
            <w:right w:w="108" w:type="dxa"/>
          </w:tblCellMar>
        </w:tblPrEx>
        <w:trPr>
          <w:trHeight w:val="375" w:hRule="atLeast"/>
        </w:trPr>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47,623,523.04</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47,623,523.04</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406"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2.6.2利润表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期期间</w:t>
            </w:r>
            <w:bookmarkStart w:id="2" w:name="_GoBack"/>
            <w:bookmarkEnd w:id="2"/>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463,780.82</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287"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2.6.3所有者权益表</w:t>
            </w:r>
          </w:p>
        </w:tc>
      </w:tr>
      <w:tr>
        <w:tblPrEx>
          <w:tblLayout w:type="fixed"/>
          <w:tblCellMar>
            <w:top w:w="0" w:type="dxa"/>
            <w:left w:w="108" w:type="dxa"/>
            <w:bottom w:w="0" w:type="dxa"/>
            <w:right w:w="108" w:type="dxa"/>
          </w:tblCellMar>
        </w:tblPrEx>
        <w:trPr>
          <w:trHeight w:val="375" w:hRule="atLeast"/>
        </w:trPr>
        <w:tc>
          <w:tcPr>
            <w:tcW w:w="1236" w:type="dxa"/>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3708"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3708"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期期末</w:t>
            </w:r>
          </w:p>
        </w:tc>
      </w:tr>
      <w:tr>
        <w:tblPrEx>
          <w:tblLayout w:type="fixed"/>
          <w:tblCellMar>
            <w:top w:w="0" w:type="dxa"/>
            <w:left w:w="108" w:type="dxa"/>
            <w:bottom w:w="0" w:type="dxa"/>
            <w:right w:w="108" w:type="dxa"/>
          </w:tblCellMar>
        </w:tblPrEx>
        <w:trPr>
          <w:trHeight w:val="375" w:hRule="atLeast"/>
        </w:trPr>
        <w:tc>
          <w:tcPr>
            <w:tcW w:w="1236"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r>
      <w:tr>
        <w:tblPrEx>
          <w:tblLayout w:type="fixed"/>
          <w:tblCellMar>
            <w:top w:w="0" w:type="dxa"/>
            <w:left w:w="108" w:type="dxa"/>
            <w:bottom w:w="0" w:type="dxa"/>
            <w:right w:w="108" w:type="dxa"/>
          </w:tblCellMar>
        </w:tblPrEx>
        <w:trPr>
          <w:trHeight w:val="375" w:hRule="atLeast"/>
        </w:trPr>
        <w:tc>
          <w:tcPr>
            <w:tcW w:w="123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46,000,000.00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1,356,054.79</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47,356,054.79</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3"/>
                <w:szCs w:val="13"/>
              </w:rPr>
            </w:pPr>
            <w:r>
              <w:rPr>
                <w:rFonts w:hint="eastAsia" w:ascii="黑体" w:hAnsi="黑体" w:eastAsia="黑体" w:cs="宋体"/>
                <w:b/>
                <w:color w:val="000000"/>
                <w:kern w:val="0"/>
                <w:sz w:val="20"/>
                <w:szCs w:val="20"/>
              </w:rPr>
              <w:t>2.6.4托管行申明</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中国邮政储蓄银行股份有限公司</w:t>
            </w:r>
            <w:r>
              <w:rPr>
                <w:rFonts w:ascii="黑体" w:hAnsi="黑体" w:eastAsia="黑体" w:cs="黑体"/>
                <w:color w:val="000000"/>
                <w:sz w:val="18"/>
                <w:u w:val="none"/>
              </w:rPr>
              <w:t>作为托管人, 已对上述财务会计报告中的数据进行了核对, 数据无误.</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备注：上述披露信息为该产品成立日日终的投资情况，该数据仅供参考，实际投资比例以银行投资运作情况为准，泰隆银行对上述披露信息有最终解释权。</w:t>
            </w:r>
          </w:p>
        </w:tc>
      </w:tr>
    </w:tbl>
    <w:p>
      <w:pPr>
        <w:rPr>
          <w:rFonts w:ascii="黑体" w:hAnsi="黑体"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CF"/>
    <w:rsid w:val="00043438"/>
    <w:rsid w:val="00043B35"/>
    <w:rsid w:val="000721DB"/>
    <w:rsid w:val="00092642"/>
    <w:rsid w:val="00095E5D"/>
    <w:rsid w:val="000A502D"/>
    <w:rsid w:val="000C3F05"/>
    <w:rsid w:val="000E276D"/>
    <w:rsid w:val="000E62D5"/>
    <w:rsid w:val="00141AD0"/>
    <w:rsid w:val="0018355E"/>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0D4C"/>
    <w:rsid w:val="00525D94"/>
    <w:rsid w:val="00527E19"/>
    <w:rsid w:val="00535A79"/>
    <w:rsid w:val="00564D1F"/>
    <w:rsid w:val="005A20BB"/>
    <w:rsid w:val="005C4739"/>
    <w:rsid w:val="00610A40"/>
    <w:rsid w:val="00682EF9"/>
    <w:rsid w:val="00696DD6"/>
    <w:rsid w:val="006A6DD0"/>
    <w:rsid w:val="00702ECB"/>
    <w:rsid w:val="0070399A"/>
    <w:rsid w:val="00710D95"/>
    <w:rsid w:val="0071304D"/>
    <w:rsid w:val="00716B93"/>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654"/>
    <w:rsid w:val="00917A5D"/>
    <w:rsid w:val="00930FAE"/>
    <w:rsid w:val="009459E5"/>
    <w:rsid w:val="00961551"/>
    <w:rsid w:val="00976DD8"/>
    <w:rsid w:val="00987DC7"/>
    <w:rsid w:val="00990075"/>
    <w:rsid w:val="009933F8"/>
    <w:rsid w:val="009A1B43"/>
    <w:rsid w:val="009A1C62"/>
    <w:rsid w:val="009E3B54"/>
    <w:rsid w:val="00A4179D"/>
    <w:rsid w:val="00A4376A"/>
    <w:rsid w:val="00A522DF"/>
    <w:rsid w:val="00AA21A0"/>
    <w:rsid w:val="00AA5A44"/>
    <w:rsid w:val="00AE1986"/>
    <w:rsid w:val="00B37ECA"/>
    <w:rsid w:val="00B65D28"/>
    <w:rsid w:val="00B737C0"/>
    <w:rsid w:val="00B913DA"/>
    <w:rsid w:val="00BC502E"/>
    <w:rsid w:val="00BD0171"/>
    <w:rsid w:val="00BE33A8"/>
    <w:rsid w:val="00C474D0"/>
    <w:rsid w:val="00C5086A"/>
    <w:rsid w:val="00C569E0"/>
    <w:rsid w:val="00C81549"/>
    <w:rsid w:val="00C81D1D"/>
    <w:rsid w:val="00CD26C1"/>
    <w:rsid w:val="00D62CEA"/>
    <w:rsid w:val="00D740E6"/>
    <w:rsid w:val="00D87A03"/>
    <w:rsid w:val="00DA7433"/>
    <w:rsid w:val="00DB6A4F"/>
    <w:rsid w:val="00E31B43"/>
    <w:rsid w:val="00E33399"/>
    <w:rsid w:val="00E7332D"/>
    <w:rsid w:val="00ED072B"/>
    <w:rsid w:val="00EE46F2"/>
    <w:rsid w:val="00F1425D"/>
    <w:rsid w:val="00F14EE0"/>
    <w:rsid w:val="00F701E1"/>
    <w:rsid w:val="00FA7DDC"/>
    <w:rsid w:val="00FC2E22"/>
    <w:rsid w:val="36382432"/>
    <w:rsid w:val="65CF2A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rFonts w:ascii="Calibri" w:hAnsi="Calibri" w:eastAsia="宋体" w:cs="Times New Roman"/>
      <w:sz w:val="18"/>
      <w:szCs w:val="18"/>
    </w:rPr>
  </w:style>
  <w:style w:type="character" w:customStyle="1" w:styleId="13">
    <w:name w:val="批注文字 字符"/>
    <w:basedOn w:val="7"/>
    <w:link w:val="2"/>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910</Characters>
  <Lines>7</Lines>
  <Paragraphs>2</Paragraphs>
  <TotalTime>0</TotalTime>
  <ScaleCrop>false</ScaleCrop>
  <LinksUpToDate>false</LinksUpToDate>
  <CharactersWithSpaces>1067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2018-05-22T07:12:00Z</dcterms:created>
  <dc:creator>zf</dc:creator>
  <cp:lastModifiedBy>寿燕妮</cp:lastModifiedBy>
  <dcterms:modified xsi:type="dcterms:W3CDTF">2021-10-14T03:19:26Z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3387403DF90E4FB1A8DCB921049936EB</vt:lpwstr>
  </property>
</Properties>
</file>