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652" w:type="dxa"/>
        <w:tblInd w:w="103" w:type="dxa"/>
        <w:tblLayout w:type="fixed"/>
        <w:tblCellMar>
          <w:top w:w="0" w:type="dxa"/>
          <w:left w:w="108" w:type="dxa"/>
          <w:bottom w:w="0" w:type="dxa"/>
          <w:right w:w="108" w:type="dxa"/>
        </w:tblCellMar>
      </w:tblPr>
      <w:tblGrid>
        <w:gridCol w:w="998"/>
        <w:gridCol w:w="238"/>
        <w:gridCol w:w="206"/>
        <w:gridCol w:w="1030"/>
        <w:gridCol w:w="14"/>
        <w:gridCol w:w="71"/>
        <w:gridCol w:w="327"/>
        <w:gridCol w:w="824"/>
        <w:gridCol w:w="618"/>
        <w:gridCol w:w="357"/>
        <w:gridCol w:w="142"/>
        <w:gridCol w:w="119"/>
        <w:gridCol w:w="590"/>
        <w:gridCol w:w="234"/>
        <w:gridCol w:w="412"/>
        <w:gridCol w:w="62"/>
        <w:gridCol w:w="284"/>
        <w:gridCol w:w="684"/>
        <w:gridCol w:w="206"/>
        <w:gridCol w:w="244"/>
        <w:gridCol w:w="992"/>
      </w:tblGrid>
      <w:tr>
        <w:tblPrEx>
          <w:tblLayout w:type="fixed"/>
          <w:tblCellMar>
            <w:top w:w="0" w:type="dxa"/>
            <w:left w:w="108" w:type="dxa"/>
            <w:bottom w:w="0" w:type="dxa"/>
            <w:right w:w="108" w:type="dxa"/>
          </w:tblCellMar>
        </w:tblPrEx>
        <w:trPr>
          <w:trHeight w:val="285"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w:t>
            </w:r>
            <w:r>
              <w:rPr>
                <w:rFonts w:hint="eastAsia" w:ascii="黑体" w:hAnsi="黑体" w:eastAsia="黑体" w:cs="Calibri"/>
                <w:b/>
                <w:bCs/>
                <w:color w:val="000000"/>
                <w:kern w:val="0"/>
                <w:szCs w:val="21"/>
              </w:rPr>
              <w:t>钱潮系列1号21006期</w:t>
            </w:r>
            <w:r>
              <w:rPr>
                <w:rFonts w:hint="eastAsia" w:ascii="黑体" w:hAnsi="黑体" w:eastAsia="黑体" w:cs="宋体"/>
                <w:b/>
                <w:bCs/>
                <w:color w:val="000000"/>
                <w:kern w:val="0"/>
                <w:szCs w:val="21"/>
              </w:rPr>
              <w:t>”产品运行公告（季报）</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1、理财产品概况</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产品名称</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钱潮系列1号21006期</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产品代码</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CC21006</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产品登记编码</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C1092921000003</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币种</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人民币(CNY)</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产品成立日</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2021-01-12</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产品到期日</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2022-01-14</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存续规模（份）</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25900000.00</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报告日</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2021-09-30</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业绩比较基准/预期年化收益率</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3.90%</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份额净值（元）</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1.02799452</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份额累计净值（元）</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1.02799452</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资产净值（元）</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26625058.08</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募集方式</w:t>
            </w:r>
          </w:p>
        </w:tc>
        <w:tc>
          <w:tcPr>
            <w:tcW w:w="6166"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公募</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投资性质</w:t>
            </w:r>
          </w:p>
        </w:tc>
        <w:tc>
          <w:tcPr>
            <w:tcW w:w="6166"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固定收益类</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产品流动性</w:t>
            </w:r>
          </w:p>
        </w:tc>
        <w:tc>
          <w:tcPr>
            <w:tcW w:w="6166"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封闭式</w:t>
            </w:r>
          </w:p>
        </w:tc>
      </w:tr>
      <w:tr>
        <w:tblPrEx>
          <w:tblLayout w:type="fixed"/>
          <w:tblCellMar>
            <w:top w:w="0" w:type="dxa"/>
            <w:left w:w="108" w:type="dxa"/>
            <w:bottom w:w="0" w:type="dxa"/>
            <w:right w:w="108" w:type="dxa"/>
          </w:tblCellMar>
        </w:tblPrEx>
        <w:trPr>
          <w:trHeight w:val="270" w:hRule="atLeast"/>
        </w:trPr>
        <w:tc>
          <w:tcPr>
            <w:tcW w:w="248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理财资产托管人</w:t>
            </w:r>
          </w:p>
        </w:tc>
        <w:tc>
          <w:tcPr>
            <w:tcW w:w="6166" w:type="dxa"/>
            <w:gridSpan w:val="1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黑体" w:hAnsi="黑体" w:eastAsia="黑体" w:cs="宋体"/>
                <w:color w:val="000000"/>
                <w:kern w:val="0"/>
                <w:sz w:val="18"/>
                <w:szCs w:val="18"/>
              </w:rPr>
            </w:pPr>
            <w:r>
              <w:rPr>
                <w:rFonts w:ascii="黑体" w:hAnsi="黑体" w:eastAsia="黑体" w:cs="黑体"/>
                <w:color w:val="000000"/>
                <w:sz w:val="18"/>
              </w:rPr>
              <w:t>中国邮政储蓄银行股份有限公司</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2"/>
              </w:rPr>
            </w:pPr>
            <w:r>
              <w:rPr>
                <w:rFonts w:hint="eastAsia" w:ascii="黑体" w:hAnsi="黑体" w:eastAsia="黑体" w:cs="宋体"/>
                <w:b/>
                <w:bCs/>
                <w:color w:val="000000"/>
                <w:kern w:val="0"/>
                <w:sz w:val="22"/>
              </w:rPr>
              <w:t>2、投资组合报告</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 投资组合基本情况</w:t>
            </w:r>
          </w:p>
        </w:tc>
      </w:tr>
      <w:tr>
        <w:tblPrEx>
          <w:tblLayout w:type="fixed"/>
          <w:tblCellMar>
            <w:top w:w="0" w:type="dxa"/>
            <w:left w:w="108" w:type="dxa"/>
            <w:bottom w:w="0" w:type="dxa"/>
            <w:right w:w="108" w:type="dxa"/>
          </w:tblCellMar>
        </w:tblPrEx>
        <w:trPr>
          <w:trHeight w:val="270"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杠杆水平（%）</w:t>
            </w:r>
          </w:p>
        </w:tc>
        <w:tc>
          <w:tcPr>
            <w:tcW w:w="7654" w:type="dxa"/>
            <w:gridSpan w:val="20"/>
            <w:tcBorders>
              <w:top w:val="single" w:color="auto" w:sz="4" w:space="0"/>
              <w:left w:val="nil"/>
              <w:bottom w:val="single" w:color="auto" w:sz="4" w:space="0"/>
              <w:right w:val="single" w:color="auto" w:sz="4" w:space="0"/>
            </w:tcBorders>
            <w:shd w:val="clear" w:color="auto" w:fill="auto"/>
            <w:vAlign w:val="center"/>
          </w:tcPr>
          <w:p>
            <w:pPr>
              <w:widowControl/>
              <w:rPr>
                <w:rFonts w:ascii="黑体" w:hAnsi="黑体" w:eastAsia="黑体" w:cs="宋体"/>
                <w:b/>
                <w:bCs/>
                <w:color w:val="000000"/>
                <w:kern w:val="0"/>
                <w:sz w:val="22"/>
              </w:rPr>
            </w:pPr>
            <w:r>
              <w:rPr>
                <w:rFonts w:hint="eastAsia" w:ascii="黑体" w:hAnsi="黑体" w:eastAsia="黑体" w:cs="宋体"/>
                <w:b/>
                <w:bCs/>
                <w:color w:val="000000"/>
                <w:kern w:val="0"/>
                <w:sz w:val="22"/>
              </w:rPr>
              <w:t>100.41%</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 资产配置情况</w:t>
            </w:r>
          </w:p>
        </w:tc>
      </w:tr>
      <w:tr>
        <w:tblPrEx>
          <w:tblLayout w:type="fixed"/>
          <w:tblCellMar>
            <w:top w:w="0" w:type="dxa"/>
            <w:left w:w="108" w:type="dxa"/>
            <w:bottom w:w="0" w:type="dxa"/>
            <w:right w:w="108" w:type="dxa"/>
          </w:tblCellMar>
        </w:tblPrEx>
        <w:trPr>
          <w:trHeight w:val="270"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序号</w:t>
            </w:r>
          </w:p>
        </w:tc>
        <w:tc>
          <w:tcPr>
            <w:tcW w:w="3827"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资产种类</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占投资组合的比例（%）</w:t>
            </w:r>
          </w:p>
        </w:tc>
      </w:tr>
      <w:tr>
        <w:tblPrEx>
          <w:tblLayout w:type="fixed"/>
          <w:tblCellMar>
            <w:top w:w="0" w:type="dxa"/>
            <w:left w:w="108" w:type="dxa"/>
            <w:bottom w:w="0" w:type="dxa"/>
            <w:right w:w="108" w:type="dxa"/>
          </w:tblCellMar>
        </w:tblPrEx>
        <w:trPr>
          <w:trHeight w:val="614"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1</w:t>
            </w:r>
          </w:p>
        </w:tc>
        <w:tc>
          <w:tcPr>
            <w:tcW w:w="3827"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资产管理产品</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100.00</w:t>
            </w:r>
          </w:p>
        </w:tc>
      </w:tr>
      <w:tr>
        <w:tblPrEx>
          <w:tblLayout w:type="fixed"/>
          <w:tblCellMar>
            <w:top w:w="0" w:type="dxa"/>
            <w:left w:w="108" w:type="dxa"/>
            <w:bottom w:w="0" w:type="dxa"/>
            <w:right w:w="108" w:type="dxa"/>
          </w:tblCellMar>
        </w:tblPrEx>
        <w:trPr>
          <w:trHeight w:val="614"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2</w:t>
            </w:r>
          </w:p>
        </w:tc>
        <w:tc>
          <w:tcPr>
            <w:tcW w:w="3827"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其他符合监管要求的债权类资产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3</w:t>
            </w:r>
          </w:p>
        </w:tc>
        <w:tc>
          <w:tcPr>
            <w:tcW w:w="3827"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股票</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4</w:t>
            </w:r>
          </w:p>
        </w:tc>
        <w:tc>
          <w:tcPr>
            <w:tcW w:w="3827"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债券、ABS等标准化固定收益资产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5</w:t>
            </w:r>
          </w:p>
        </w:tc>
        <w:tc>
          <w:tcPr>
            <w:tcW w:w="3827"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其他资产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6</w:t>
            </w:r>
          </w:p>
        </w:tc>
        <w:tc>
          <w:tcPr>
            <w:tcW w:w="3827"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商品、外汇</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7</w:t>
            </w:r>
          </w:p>
        </w:tc>
        <w:tc>
          <w:tcPr>
            <w:tcW w:w="3827"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现金、货币市场工具类</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614"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黑体" w:hAnsi="黑体" w:eastAsia="黑体" w:cs="Arial"/>
                <w:sz w:val="18"/>
                <w:szCs w:val="18"/>
              </w:rPr>
            </w:pPr>
            <w:r>
              <w:rPr>
                <w:rFonts w:hint="eastAsia" w:ascii="黑体" w:hAnsi="黑体" w:eastAsia="黑体" w:cs="Arial"/>
                <w:sz w:val="18"/>
                <w:szCs w:val="18"/>
              </w:rPr>
              <w:t>8</w:t>
            </w:r>
          </w:p>
        </w:tc>
        <w:tc>
          <w:tcPr>
            <w:tcW w:w="3827"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其他符合监管要求的权益类资产</w:t>
            </w:r>
          </w:p>
        </w:tc>
        <w:tc>
          <w:tcPr>
            <w:tcW w:w="3827"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Arial"/>
                <w:sz w:val="18"/>
                <w:szCs w:val="18"/>
              </w:rPr>
              <w:t>0.00</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2.3 非标准化债权资产明细</w:t>
            </w:r>
          </w:p>
        </w:tc>
      </w:tr>
      <w:tr>
        <w:tblPrEx>
          <w:tblLayout w:type="fixed"/>
          <w:tblCellMar>
            <w:top w:w="0" w:type="dxa"/>
            <w:left w:w="108" w:type="dxa"/>
            <w:bottom w:w="0" w:type="dxa"/>
            <w:right w:w="108" w:type="dxa"/>
          </w:tblCellMar>
        </w:tblPrEx>
        <w:trPr>
          <w:trHeight w:val="465"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序号</w:t>
            </w:r>
          </w:p>
        </w:tc>
        <w:tc>
          <w:tcPr>
            <w:tcW w:w="155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融资客户</w:t>
            </w:r>
          </w:p>
        </w:tc>
        <w:tc>
          <w:tcPr>
            <w:tcW w:w="297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项目名称</w:t>
            </w:r>
          </w:p>
        </w:tc>
        <w:tc>
          <w:tcPr>
            <w:tcW w:w="99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剩余融资期限（天）</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交易结构</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到期收益分配</w:t>
            </w:r>
          </w:p>
        </w:tc>
      </w:tr>
      <w:tr>
        <w:tblPrEx>
          <w:tblLayout w:type="fixed"/>
          <w:tblCellMar>
            <w:top w:w="0" w:type="dxa"/>
            <w:left w:w="108" w:type="dxa"/>
            <w:bottom w:w="0" w:type="dxa"/>
            <w:right w:w="108" w:type="dxa"/>
          </w:tblCellMar>
        </w:tblPrEx>
        <w:trPr>
          <w:trHeight w:val="270"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1</w:t>
            </w:r>
            <w:bookmarkStart w:id="0" w:name="OLE_LINK1"/>
            <w:bookmarkEnd w:id="0"/>
          </w:p>
        </w:tc>
        <w:tc>
          <w:tcPr>
            <w:tcW w:w="155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微软雅黑" w:hAnsi="微软雅黑" w:eastAsia="微软雅黑"/>
                <w:sz w:val="18"/>
                <w:szCs w:val="18"/>
              </w:rPr>
              <w:t>温州市伊贝典鞋业有限公司</w:t>
            </w:r>
          </w:p>
        </w:tc>
        <w:tc>
          <w:tcPr>
            <w:tcW w:w="297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color w:val="000000"/>
                <w:kern w:val="0"/>
                <w:sz w:val="18"/>
                <w:szCs w:val="18"/>
              </w:rPr>
            </w:pPr>
            <w:r>
              <w:rPr>
                <w:rFonts w:hint="eastAsia" w:ascii="黑体" w:hAnsi="黑体" w:eastAsia="黑体" w:cs="宋体"/>
                <w:color w:val="000000"/>
                <w:kern w:val="0"/>
                <w:sz w:val="18"/>
                <w:szCs w:val="18"/>
              </w:rPr>
              <w:t>厦门信托-小微企业专项扶持单一资金信托第6期</w:t>
            </w:r>
          </w:p>
        </w:tc>
        <w:tc>
          <w:tcPr>
            <w:tcW w:w="99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105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信托贷款</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到期一次性分配</w:t>
            </w:r>
          </w:p>
        </w:tc>
      </w:tr>
      <w:tr>
        <w:tblPrEx>
          <w:tblLayout w:type="fixed"/>
          <w:tblCellMar>
            <w:top w:w="0" w:type="dxa"/>
            <w:left w:w="108" w:type="dxa"/>
            <w:bottom w:w="0" w:type="dxa"/>
            <w:right w:w="108" w:type="dxa"/>
          </w:tblCellMar>
        </w:tblPrEx>
        <w:trPr>
          <w:trHeight w:val="270"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2</w:t>
            </w:r>
          </w:p>
        </w:tc>
        <w:tc>
          <w:tcPr>
            <w:tcW w:w="155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微软雅黑" w:hAnsi="微软雅黑" w:eastAsia="微软雅黑"/>
                <w:sz w:val="18"/>
                <w:szCs w:val="18"/>
              </w:rPr>
              <w:t>安吉鑫瀚数码印花科技有限公司</w:t>
            </w:r>
          </w:p>
        </w:tc>
        <w:tc>
          <w:tcPr>
            <w:tcW w:w="297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厦门信托-小微企业专项扶持单一资金信托第6期</w:t>
            </w:r>
          </w:p>
        </w:tc>
        <w:tc>
          <w:tcPr>
            <w:tcW w:w="99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105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信托贷款</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到期一次性分配</w:t>
            </w:r>
          </w:p>
        </w:tc>
      </w:tr>
      <w:tr>
        <w:tblPrEx>
          <w:tblLayout w:type="fixed"/>
          <w:tblCellMar>
            <w:top w:w="0" w:type="dxa"/>
            <w:left w:w="108" w:type="dxa"/>
            <w:bottom w:w="0" w:type="dxa"/>
            <w:right w:w="108" w:type="dxa"/>
          </w:tblCellMar>
        </w:tblPrEx>
        <w:trPr>
          <w:trHeight w:val="270"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3</w:t>
            </w:r>
          </w:p>
        </w:tc>
        <w:tc>
          <w:tcPr>
            <w:tcW w:w="155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微软雅黑" w:hAnsi="微软雅黑" w:eastAsia="微软雅黑"/>
                <w:sz w:val="18"/>
                <w:szCs w:val="18"/>
              </w:rPr>
              <w:t>杭州信吾科技有限公司</w:t>
            </w:r>
          </w:p>
        </w:tc>
        <w:tc>
          <w:tcPr>
            <w:tcW w:w="297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厦门信托-小微企业专项扶持单一资金信托第6期</w:t>
            </w:r>
          </w:p>
        </w:tc>
        <w:tc>
          <w:tcPr>
            <w:tcW w:w="99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105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信托贷款</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到期一次性分配</w:t>
            </w:r>
          </w:p>
        </w:tc>
      </w:tr>
      <w:tr>
        <w:tblPrEx>
          <w:tblLayout w:type="fixed"/>
          <w:tblCellMar>
            <w:top w:w="0" w:type="dxa"/>
            <w:left w:w="108" w:type="dxa"/>
            <w:bottom w:w="0" w:type="dxa"/>
            <w:right w:w="108" w:type="dxa"/>
          </w:tblCellMar>
        </w:tblPrEx>
        <w:trPr>
          <w:trHeight w:val="270"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4</w:t>
            </w:r>
          </w:p>
        </w:tc>
        <w:tc>
          <w:tcPr>
            <w:tcW w:w="155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微软雅黑" w:hAnsi="微软雅黑" w:eastAsia="微软雅黑"/>
                <w:sz w:val="18"/>
                <w:szCs w:val="18"/>
              </w:rPr>
              <w:t>长兴振远纺织有限公司</w:t>
            </w:r>
          </w:p>
        </w:tc>
        <w:tc>
          <w:tcPr>
            <w:tcW w:w="297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厦门信托-小微企业专项扶持单一资金信托第6期</w:t>
            </w:r>
          </w:p>
        </w:tc>
        <w:tc>
          <w:tcPr>
            <w:tcW w:w="99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105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信托贷款</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到期一次性分配</w:t>
            </w:r>
          </w:p>
        </w:tc>
      </w:tr>
      <w:tr>
        <w:tblPrEx>
          <w:tblLayout w:type="fixed"/>
          <w:tblCellMar>
            <w:top w:w="0" w:type="dxa"/>
            <w:left w:w="108" w:type="dxa"/>
            <w:bottom w:w="0" w:type="dxa"/>
            <w:right w:w="108" w:type="dxa"/>
          </w:tblCellMar>
        </w:tblPrEx>
        <w:trPr>
          <w:trHeight w:val="270"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5</w:t>
            </w:r>
          </w:p>
        </w:tc>
        <w:tc>
          <w:tcPr>
            <w:tcW w:w="155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微软雅黑" w:hAnsi="微软雅黑" w:eastAsia="微软雅黑"/>
                <w:sz w:val="18"/>
                <w:szCs w:val="18"/>
              </w:rPr>
              <w:t>浙江艮威水利建设有限公司</w:t>
            </w:r>
          </w:p>
        </w:tc>
        <w:tc>
          <w:tcPr>
            <w:tcW w:w="297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厦门信托-小微企业专项扶持单一资金信托第6期</w:t>
            </w:r>
          </w:p>
        </w:tc>
        <w:tc>
          <w:tcPr>
            <w:tcW w:w="99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105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信托贷款</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到期一次性分配</w:t>
            </w:r>
          </w:p>
        </w:tc>
      </w:tr>
      <w:tr>
        <w:tblPrEx>
          <w:tblLayout w:type="fixed"/>
          <w:tblCellMar>
            <w:top w:w="0" w:type="dxa"/>
            <w:left w:w="108" w:type="dxa"/>
            <w:bottom w:w="0" w:type="dxa"/>
            <w:right w:w="108" w:type="dxa"/>
          </w:tblCellMar>
        </w:tblPrEx>
        <w:trPr>
          <w:trHeight w:val="270" w:hRule="atLeast"/>
        </w:trPr>
        <w:tc>
          <w:tcPr>
            <w:tcW w:w="8652" w:type="dxa"/>
            <w:gridSpan w:val="2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2.4 占产品资产比例大小排序的前十项资产明细</w:t>
            </w:r>
          </w:p>
        </w:tc>
      </w:tr>
      <w:tr>
        <w:tblPrEx>
          <w:tblLayout w:type="fixed"/>
          <w:tblCellMar>
            <w:top w:w="0" w:type="dxa"/>
            <w:left w:w="108" w:type="dxa"/>
            <w:bottom w:w="0" w:type="dxa"/>
            <w:right w:w="108" w:type="dxa"/>
          </w:tblCellMar>
        </w:tblPrEx>
        <w:trPr>
          <w:trHeight w:val="45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序号</w:t>
            </w:r>
          </w:p>
        </w:tc>
        <w:tc>
          <w:tcPr>
            <w:tcW w:w="3685"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名称</w:t>
            </w:r>
          </w:p>
        </w:tc>
        <w:tc>
          <w:tcPr>
            <w:tcW w:w="155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资产余额（元）</w:t>
            </w:r>
          </w:p>
        </w:tc>
        <w:tc>
          <w:tcPr>
            <w:tcW w:w="2410" w:type="dxa"/>
            <w:gridSpan w:val="5"/>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占投资组合的比例（%）</w:t>
            </w:r>
          </w:p>
        </w:tc>
      </w:tr>
      <w:tr>
        <w:tblPrEx>
          <w:tblLayout w:type="fixed"/>
          <w:tblCellMar>
            <w:top w:w="0" w:type="dxa"/>
            <w:left w:w="108" w:type="dxa"/>
            <w:bottom w:w="0" w:type="dxa"/>
            <w:right w:w="108" w:type="dxa"/>
          </w:tblCellMar>
        </w:tblPrEx>
        <w:trPr>
          <w:trHeight w:val="84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1</w:t>
            </w:r>
          </w:p>
        </w:tc>
        <w:tc>
          <w:tcPr>
            <w:tcW w:w="3685"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厦门信托-小微企业专项扶持单一资金信托第6期</w:t>
            </w:r>
          </w:p>
        </w:tc>
        <w:tc>
          <w:tcPr>
            <w:tcW w:w="155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16,058,496.42</w:t>
            </w:r>
          </w:p>
        </w:tc>
        <w:tc>
          <w:tcPr>
            <w:tcW w:w="241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18"/>
                <w:szCs w:val="18"/>
              </w:rPr>
              <w:t>60.07</w:t>
            </w:r>
          </w:p>
        </w:tc>
      </w:tr>
      <w:tr>
        <w:tblPrEx>
          <w:tblLayout w:type="fixed"/>
          <w:tblCellMar>
            <w:top w:w="0" w:type="dxa"/>
            <w:left w:w="108" w:type="dxa"/>
            <w:bottom w:w="0" w:type="dxa"/>
            <w:right w:w="108" w:type="dxa"/>
          </w:tblCellMar>
        </w:tblPrEx>
        <w:trPr>
          <w:trHeight w:val="84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2</w:t>
            </w:r>
          </w:p>
        </w:tc>
        <w:tc>
          <w:tcPr>
            <w:tcW w:w="3685"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厦门信托-鹭隆2001号集合信托计划</w:t>
            </w:r>
          </w:p>
        </w:tc>
        <w:tc>
          <w:tcPr>
            <w:tcW w:w="155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10,674,445.14</w:t>
            </w:r>
          </w:p>
        </w:tc>
        <w:tc>
          <w:tcPr>
            <w:tcW w:w="241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18"/>
                <w:szCs w:val="18"/>
              </w:rPr>
              <w:t>39.93</w:t>
            </w:r>
          </w:p>
        </w:tc>
      </w:tr>
      <w:tr>
        <w:tblPrEx>
          <w:tblLayout w:type="fixed"/>
          <w:tblCellMar>
            <w:top w:w="0" w:type="dxa"/>
            <w:left w:w="108" w:type="dxa"/>
            <w:bottom w:w="0" w:type="dxa"/>
            <w:right w:w="108" w:type="dxa"/>
          </w:tblCellMar>
        </w:tblPrEx>
        <w:trPr>
          <w:trHeight w:val="84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3</w:t>
            </w:r>
          </w:p>
        </w:tc>
        <w:tc>
          <w:tcPr>
            <w:tcW w:w="3685"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现金</w:t>
            </w:r>
          </w:p>
        </w:tc>
        <w:tc>
          <w:tcPr>
            <w:tcW w:w="155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24.69</w:t>
            </w:r>
          </w:p>
        </w:tc>
        <w:tc>
          <w:tcPr>
            <w:tcW w:w="241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18"/>
                <w:szCs w:val="18"/>
              </w:rPr>
              <w:t>0.00</w:t>
            </w:r>
          </w:p>
        </w:tc>
      </w:tr>
      <w:tr>
        <w:tblPrEx>
          <w:tblLayout w:type="fixed"/>
          <w:tblCellMar>
            <w:top w:w="0" w:type="dxa"/>
            <w:left w:w="108" w:type="dxa"/>
            <w:bottom w:w="0" w:type="dxa"/>
            <w:right w:w="108" w:type="dxa"/>
          </w:tblCellMar>
        </w:tblPrEx>
        <w:trPr>
          <w:trHeight w:val="560"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color w:val="000000"/>
                <w:kern w:val="0"/>
                <w:sz w:val="13"/>
                <w:szCs w:val="13"/>
              </w:rPr>
            </w:pPr>
            <w:r>
              <w:rPr>
                <w:rFonts w:hint="eastAsia" w:ascii="黑体" w:hAnsi="黑体" w:eastAsia="黑体" w:cs="宋体"/>
                <w:b/>
                <w:color w:val="000000"/>
                <w:kern w:val="0"/>
                <w:sz w:val="20"/>
                <w:szCs w:val="20"/>
              </w:rPr>
              <w:t>2.5投资组合的流动性风险分析</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b/>
                <w:bCs/>
                <w:color w:val="000000"/>
                <w:kern w:val="0"/>
                <w:sz w:val="18"/>
                <w:szCs w:val="18"/>
              </w:rPr>
              <w:t>本产品的流动性风险来自于若投资品种所处的交易市场不活跃，可能带来资产变现困难或产品持仓资产在市场出现剧烈波动的情况下难以以合理的价格变现的风险。为防范以上风险，本产品管理人合理安排资产结构，严格按照产品说明书约定的投资范围、比例等要求进行管理。</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备注：</w:t>
            </w:r>
          </w:p>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1、上述披露信息为该产品报告日投资情况，该数据仅供参考，实际投资比例以银行投资运作情况为准，泰隆银行对上述披露信息有最终解释权。</w:t>
            </w:r>
          </w:p>
          <w:p>
            <w:pPr>
              <w:widowControl/>
              <w:jc w:val="left"/>
              <w:rPr>
                <w:rFonts w:ascii="黑体" w:hAnsi="黑体" w:eastAsia="黑体" w:cs="宋体"/>
                <w:color w:val="000000"/>
                <w:kern w:val="0"/>
                <w:sz w:val="13"/>
                <w:szCs w:val="13"/>
              </w:rPr>
            </w:pPr>
            <w:r>
              <w:rPr>
                <w:rFonts w:hint="eastAsia" w:ascii="黑体" w:hAnsi="黑体" w:eastAsia="黑体" w:cs="宋体"/>
                <w:color w:val="000000"/>
                <w:kern w:val="0"/>
                <w:sz w:val="18"/>
                <w:szCs w:val="18"/>
              </w:rPr>
              <w:t>2、理财产品托管人</w:t>
            </w:r>
            <w:r>
              <w:rPr>
                <w:rFonts w:ascii="黑体" w:hAnsi="黑体" w:eastAsia="黑体" w:cs="黑体"/>
                <w:color w:val="000000"/>
                <w:sz w:val="18"/>
              </w:rPr>
              <w:t>中国邮政储蓄银行股份有限公司根据托管协议规定，复核了本报告中的财务指标、净值表现和投资组合报告等内容，保证复核内容不存在虚假记载、误导性陈述。</w:t>
            </w:r>
          </w:p>
        </w:tc>
      </w:tr>
      <w:tr>
        <w:tblPrEx>
          <w:tblLayout w:type="fixed"/>
          <w:tblCellMar>
            <w:top w:w="0" w:type="dxa"/>
            <w:left w:w="108" w:type="dxa"/>
            <w:bottom w:w="0" w:type="dxa"/>
            <w:right w:w="108" w:type="dxa"/>
          </w:tblCellMar>
        </w:tblPrEx>
        <w:trPr>
          <w:trHeight w:val="561"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color w:val="000000"/>
                <w:kern w:val="0"/>
                <w:sz w:val="13"/>
                <w:szCs w:val="13"/>
              </w:rPr>
            </w:pPr>
            <w:bookmarkStart w:id="1" w:name="_Hlk76564588"/>
            <w:r>
              <w:rPr>
                <w:rFonts w:hint="eastAsia" w:ascii="黑体" w:hAnsi="黑体" w:eastAsia="黑体" w:cs="宋体"/>
                <w:b/>
                <w:color w:val="000000"/>
                <w:kern w:val="0"/>
                <w:sz w:val="20"/>
                <w:szCs w:val="20"/>
              </w:rPr>
              <w:t>2.6季度财务会计报告(三表)</w:t>
            </w:r>
          </w:p>
        </w:tc>
      </w:tr>
      <w:tr>
        <w:tblPrEx>
          <w:tblLayout w:type="fixed"/>
          <w:tblCellMar>
            <w:top w:w="0" w:type="dxa"/>
            <w:left w:w="108" w:type="dxa"/>
            <w:bottom w:w="0" w:type="dxa"/>
            <w:right w:w="108" w:type="dxa"/>
          </w:tblCellMar>
        </w:tblPrEx>
        <w:trPr>
          <w:trHeight w:val="424"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b/>
                <w:color w:val="000000"/>
                <w:kern w:val="0"/>
                <w:sz w:val="20"/>
                <w:szCs w:val="20"/>
              </w:rPr>
            </w:pPr>
            <w:r>
              <w:rPr>
                <w:rFonts w:hint="eastAsia" w:ascii="黑体" w:hAnsi="黑体" w:eastAsia="黑体" w:cs="宋体"/>
                <w:b/>
                <w:color w:val="000000"/>
                <w:kern w:val="0"/>
                <w:sz w:val="20"/>
                <w:szCs w:val="20"/>
              </w:rPr>
              <w:t>2.6.1资负表</w:t>
            </w:r>
          </w:p>
        </w:tc>
      </w:tr>
      <w:tr>
        <w:tblPrEx>
          <w:tblLayout w:type="fixed"/>
          <w:tblCellMar>
            <w:top w:w="0" w:type="dxa"/>
            <w:left w:w="108" w:type="dxa"/>
            <w:bottom w:w="0" w:type="dxa"/>
            <w:right w:w="108" w:type="dxa"/>
          </w:tblCellMar>
        </w:tblPrEx>
        <w:trPr>
          <w:trHeight w:val="37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单位：元</w:t>
            </w:r>
          </w:p>
        </w:tc>
      </w:tr>
      <w:bookmarkEnd w:id="1"/>
      <w:tr>
        <w:tblPrEx>
          <w:tblLayout w:type="fixed"/>
          <w:tblCellMar>
            <w:top w:w="0" w:type="dxa"/>
            <w:left w:w="108" w:type="dxa"/>
            <w:bottom w:w="0" w:type="dxa"/>
            <w:right w:w="108" w:type="dxa"/>
          </w:tblCellMar>
        </w:tblPrEx>
        <w:trPr>
          <w:trHeight w:val="375" w:hRule="atLeast"/>
        </w:trPr>
        <w:tc>
          <w:tcPr>
            <w:tcW w:w="144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资产</w:t>
            </w:r>
          </w:p>
        </w:tc>
        <w:tc>
          <w:tcPr>
            <w:tcW w:w="144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期末余额</w:t>
            </w:r>
          </w:p>
        </w:tc>
        <w:tc>
          <w:tcPr>
            <w:tcW w:w="144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lang w:eastAsia="zh-CN"/>
              </w:rPr>
              <w:t>年</w:t>
            </w:r>
            <w:r>
              <w:rPr>
                <w:rFonts w:hint="eastAsia" w:ascii="黑体" w:hAnsi="黑体" w:eastAsia="黑体" w:cs="宋体"/>
                <w:b/>
                <w:bCs/>
                <w:color w:val="000000"/>
                <w:kern w:val="0"/>
                <w:sz w:val="18"/>
                <w:szCs w:val="18"/>
              </w:rPr>
              <w:t>初余额</w:t>
            </w:r>
          </w:p>
        </w:tc>
        <w:tc>
          <w:tcPr>
            <w:tcW w:w="144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负债和所有者权益</w:t>
            </w:r>
          </w:p>
        </w:tc>
        <w:tc>
          <w:tcPr>
            <w:tcW w:w="144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期末余额</w:t>
            </w:r>
          </w:p>
        </w:tc>
        <w:tc>
          <w:tcPr>
            <w:tcW w:w="144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lang w:eastAsia="zh-CN"/>
              </w:rPr>
              <w:t>年</w:t>
            </w:r>
            <w:r>
              <w:rPr>
                <w:rFonts w:hint="eastAsia" w:ascii="黑体" w:hAnsi="黑体" w:eastAsia="黑体" w:cs="宋体"/>
                <w:b/>
                <w:bCs/>
                <w:color w:val="000000"/>
                <w:kern w:val="0"/>
                <w:sz w:val="18"/>
                <w:szCs w:val="18"/>
              </w:rPr>
              <w:t>初余额</w:t>
            </w:r>
          </w:p>
        </w:tc>
      </w:tr>
      <w:tr>
        <w:tblPrEx>
          <w:tblLayout w:type="fixed"/>
          <w:tblCellMar>
            <w:top w:w="0" w:type="dxa"/>
            <w:left w:w="108" w:type="dxa"/>
            <w:bottom w:w="0" w:type="dxa"/>
            <w:right w:w="108" w:type="dxa"/>
          </w:tblCellMar>
        </w:tblPrEx>
        <w:trPr>
          <w:trHeight w:val="375" w:hRule="atLeast"/>
        </w:trPr>
        <w:tc>
          <w:tcPr>
            <w:tcW w:w="144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144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26,732,966.25</w:t>
            </w:r>
          </w:p>
        </w:tc>
        <w:tc>
          <w:tcPr>
            <w:tcW w:w="144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c>
          <w:tcPr>
            <w:tcW w:w="144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144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26,732,966.25</w:t>
            </w:r>
          </w:p>
        </w:tc>
        <w:tc>
          <w:tcPr>
            <w:tcW w:w="144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r>
      <w:tr>
        <w:tblPrEx>
          <w:tblLayout w:type="fixed"/>
          <w:tblCellMar>
            <w:top w:w="0" w:type="dxa"/>
            <w:left w:w="108" w:type="dxa"/>
            <w:bottom w:w="0" w:type="dxa"/>
            <w:right w:w="108" w:type="dxa"/>
          </w:tblCellMar>
        </w:tblPrEx>
        <w:trPr>
          <w:trHeight w:val="406"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b/>
                <w:color w:val="000000"/>
                <w:kern w:val="0"/>
                <w:sz w:val="13"/>
                <w:szCs w:val="13"/>
              </w:rPr>
            </w:pPr>
            <w:r>
              <w:rPr>
                <w:rFonts w:hint="eastAsia" w:ascii="黑体" w:hAnsi="黑体" w:eastAsia="黑体" w:cs="宋体"/>
                <w:b/>
                <w:color w:val="000000"/>
                <w:kern w:val="0"/>
                <w:sz w:val="20"/>
                <w:szCs w:val="20"/>
              </w:rPr>
              <w:t>2.6.2利润表</w:t>
            </w:r>
          </w:p>
        </w:tc>
      </w:tr>
      <w:tr>
        <w:tblPrEx>
          <w:tblLayout w:type="fixed"/>
          <w:tblCellMar>
            <w:top w:w="0" w:type="dxa"/>
            <w:left w:w="108" w:type="dxa"/>
            <w:bottom w:w="0" w:type="dxa"/>
            <w:right w:w="108" w:type="dxa"/>
          </w:tblCellMar>
        </w:tblPrEx>
        <w:trPr>
          <w:trHeight w:val="37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单位：元</w:t>
            </w:r>
          </w:p>
        </w:tc>
      </w:tr>
      <w:tr>
        <w:tblPrEx>
          <w:tblLayout w:type="fixed"/>
          <w:tblCellMar>
            <w:top w:w="0" w:type="dxa"/>
            <w:left w:w="108" w:type="dxa"/>
            <w:bottom w:w="0" w:type="dxa"/>
            <w:right w:w="108" w:type="dxa"/>
          </w:tblCellMar>
        </w:tblPrEx>
        <w:trPr>
          <w:trHeight w:val="375" w:hRule="atLeast"/>
        </w:trPr>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项目</w:t>
            </w: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本期</w:t>
            </w: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上年可比</w:t>
            </w:r>
            <w:r>
              <w:rPr>
                <w:rFonts w:hint="eastAsia" w:ascii="黑体" w:hAnsi="黑体" w:eastAsia="黑体" w:cs="宋体"/>
                <w:b/>
                <w:bCs/>
                <w:color w:val="000000"/>
                <w:kern w:val="0"/>
                <w:sz w:val="18"/>
                <w:szCs w:val="18"/>
                <w:lang w:eastAsia="zh-CN"/>
              </w:rPr>
              <w:t>期期间</w:t>
            </w:r>
            <w:bookmarkStart w:id="2" w:name="_GoBack"/>
            <w:bookmarkEnd w:id="2"/>
          </w:p>
        </w:tc>
      </w:tr>
      <w:tr>
        <w:tblPrEx>
          <w:tblLayout w:type="fixed"/>
          <w:tblCellMar>
            <w:top w:w="0" w:type="dxa"/>
            <w:left w:w="108" w:type="dxa"/>
            <w:bottom w:w="0" w:type="dxa"/>
            <w:right w:w="108" w:type="dxa"/>
          </w:tblCellMar>
        </w:tblPrEx>
        <w:trPr>
          <w:trHeight w:val="375" w:hRule="atLeast"/>
        </w:trPr>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254,600.55</w:t>
            </w:r>
          </w:p>
        </w:tc>
        <w:tc>
          <w:tcPr>
            <w:tcW w:w="2884"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r>
      <w:tr>
        <w:tblPrEx>
          <w:tblLayout w:type="fixed"/>
          <w:tblCellMar>
            <w:top w:w="0" w:type="dxa"/>
            <w:left w:w="108" w:type="dxa"/>
            <w:bottom w:w="0" w:type="dxa"/>
            <w:right w:w="108" w:type="dxa"/>
          </w:tblCellMar>
        </w:tblPrEx>
        <w:trPr>
          <w:trHeight w:val="287"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b/>
                <w:color w:val="000000"/>
                <w:kern w:val="0"/>
                <w:sz w:val="13"/>
                <w:szCs w:val="13"/>
              </w:rPr>
            </w:pPr>
            <w:r>
              <w:rPr>
                <w:rFonts w:hint="eastAsia" w:ascii="黑体" w:hAnsi="黑体" w:eastAsia="黑体" w:cs="宋体"/>
                <w:b/>
                <w:color w:val="000000"/>
                <w:kern w:val="0"/>
                <w:sz w:val="20"/>
                <w:szCs w:val="20"/>
              </w:rPr>
              <w:t>2.6.3所有者权益表</w:t>
            </w:r>
          </w:p>
        </w:tc>
      </w:tr>
      <w:tr>
        <w:tblPrEx>
          <w:tblLayout w:type="fixed"/>
          <w:tblCellMar>
            <w:top w:w="0" w:type="dxa"/>
            <w:left w:w="108" w:type="dxa"/>
            <w:bottom w:w="0" w:type="dxa"/>
            <w:right w:w="108" w:type="dxa"/>
          </w:tblCellMar>
        </w:tblPrEx>
        <w:trPr>
          <w:trHeight w:val="375" w:hRule="atLeast"/>
        </w:trPr>
        <w:tc>
          <w:tcPr>
            <w:tcW w:w="1236" w:type="dxa"/>
            <w:gridSpan w:val="2"/>
            <w:vMerge w:val="restart"/>
            <w:tcBorders>
              <w:top w:val="single" w:color="auto" w:sz="4" w:space="0"/>
              <w:left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项目</w:t>
            </w:r>
          </w:p>
        </w:tc>
        <w:tc>
          <w:tcPr>
            <w:tcW w:w="3708"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本期</w:t>
            </w:r>
          </w:p>
        </w:tc>
        <w:tc>
          <w:tcPr>
            <w:tcW w:w="3708"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上年可比</w:t>
            </w:r>
            <w:r>
              <w:rPr>
                <w:rFonts w:hint="eastAsia" w:ascii="黑体" w:hAnsi="黑体" w:eastAsia="黑体" w:cs="宋体"/>
                <w:b/>
                <w:bCs/>
                <w:color w:val="000000"/>
                <w:kern w:val="0"/>
                <w:sz w:val="18"/>
                <w:szCs w:val="18"/>
                <w:lang w:eastAsia="zh-CN"/>
              </w:rPr>
              <w:t>期期末</w:t>
            </w:r>
          </w:p>
        </w:tc>
      </w:tr>
      <w:tr>
        <w:tblPrEx>
          <w:tblLayout w:type="fixed"/>
          <w:tblCellMar>
            <w:top w:w="0" w:type="dxa"/>
            <w:left w:w="108" w:type="dxa"/>
            <w:bottom w:w="0" w:type="dxa"/>
            <w:right w:w="108" w:type="dxa"/>
          </w:tblCellMar>
        </w:tblPrEx>
        <w:trPr>
          <w:trHeight w:val="375" w:hRule="atLeast"/>
        </w:trPr>
        <w:tc>
          <w:tcPr>
            <w:tcW w:w="1236" w:type="dxa"/>
            <w:gridSpan w:val="2"/>
            <w:vMerge w:val="continue"/>
            <w:tcBorders>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p>
        </w:tc>
        <w:tc>
          <w:tcPr>
            <w:tcW w:w="12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实收基金</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未分配利润</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所有者权益合计</w:t>
            </w:r>
          </w:p>
        </w:tc>
        <w:tc>
          <w:tcPr>
            <w:tcW w:w="12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实收基金</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未分配利润</w:t>
            </w:r>
          </w:p>
        </w:tc>
        <w:tc>
          <w:tcPr>
            <w:tcW w:w="12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所有者权益合计</w:t>
            </w:r>
          </w:p>
        </w:tc>
      </w:tr>
      <w:tr>
        <w:tblPrEx>
          <w:tblLayout w:type="fixed"/>
          <w:tblCellMar>
            <w:top w:w="0" w:type="dxa"/>
            <w:left w:w="108" w:type="dxa"/>
            <w:bottom w:w="0" w:type="dxa"/>
            <w:right w:w="108" w:type="dxa"/>
          </w:tblCellMar>
        </w:tblPrEx>
        <w:trPr>
          <w:trHeight w:val="375" w:hRule="atLeast"/>
        </w:trPr>
        <w:tc>
          <w:tcPr>
            <w:tcW w:w="12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p>
        </w:tc>
        <w:tc>
          <w:tcPr>
            <w:tcW w:w="12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25,900,000.00</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725,058.08</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26,625,058.08</w:t>
            </w:r>
          </w:p>
        </w:tc>
        <w:tc>
          <w:tcPr>
            <w:tcW w:w="123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c>
          <w:tcPr>
            <w:tcW w:w="123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c>
          <w:tcPr>
            <w:tcW w:w="12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ascii="黑体" w:hAnsi="黑体" w:eastAsia="黑体" w:cs="宋体"/>
                <w:color w:val="000000"/>
                <w:kern w:val="0"/>
                <w:sz w:val="18"/>
                <w:szCs w:val="18"/>
              </w:rPr>
            </w:pPr>
            <w:r>
              <w:rPr>
                <w:rFonts w:hint="eastAsia" w:ascii="黑体" w:hAnsi="黑体" w:eastAsia="黑体" w:cs="宋体"/>
                <w:color w:val="000000"/>
                <w:kern w:val="0"/>
                <w:sz w:val="18"/>
                <w:szCs w:val="18"/>
              </w:rPr>
              <w:t>0.00</w:t>
            </w:r>
          </w:p>
        </w:tc>
      </w:tr>
      <w:tr>
        <w:tblPrEx>
          <w:tblLayout w:type="fixed"/>
          <w:tblCellMar>
            <w:top w:w="0" w:type="dxa"/>
            <w:left w:w="108" w:type="dxa"/>
            <w:bottom w:w="0" w:type="dxa"/>
            <w:right w:w="108" w:type="dxa"/>
          </w:tblCellMar>
        </w:tblPrEx>
        <w:trPr>
          <w:trHeight w:val="560"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3"/>
                <w:szCs w:val="13"/>
              </w:rPr>
            </w:pPr>
            <w:r>
              <w:rPr>
                <w:rFonts w:hint="eastAsia" w:ascii="黑体" w:hAnsi="黑体" w:eastAsia="黑体" w:cs="宋体"/>
                <w:b/>
                <w:color w:val="000000"/>
                <w:kern w:val="0"/>
                <w:sz w:val="20"/>
                <w:szCs w:val="20"/>
              </w:rPr>
              <w:t>2.6.4托管行申明</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中国邮政储蓄银行股份有限公司</w:t>
            </w:r>
            <w:r>
              <w:rPr>
                <w:rFonts w:ascii="黑体" w:hAnsi="黑体" w:eastAsia="黑体" w:cs="黑体"/>
                <w:color w:val="000000"/>
                <w:sz w:val="18"/>
              </w:rPr>
              <w:t>作为托管人, 已对上述财务会计报告中的数据进行了核对, 数据无误.</w:t>
            </w:r>
          </w:p>
        </w:tc>
      </w:tr>
      <w:tr>
        <w:tblPrEx>
          <w:tblLayout w:type="fixed"/>
          <w:tblCellMar>
            <w:top w:w="0" w:type="dxa"/>
            <w:left w:w="108" w:type="dxa"/>
            <w:bottom w:w="0" w:type="dxa"/>
            <w:right w:w="108" w:type="dxa"/>
          </w:tblCellMar>
        </w:tblPrEx>
        <w:trPr>
          <w:trHeight w:val="1125" w:hRule="atLeast"/>
        </w:trPr>
        <w:tc>
          <w:tcPr>
            <w:tcW w:w="8652"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备注：上述披露信息为该产品成立日日终的投资情况，该数据仅供参考，实际投资比例以银行投资运作情况为准，泰隆银行对上述披露信息有最终解释权。</w:t>
            </w:r>
          </w:p>
        </w:tc>
      </w:tr>
    </w:tbl>
    <w:p>
      <w:pPr>
        <w:rPr>
          <w:rFonts w:ascii="黑体" w:hAnsi="黑体" w:eastAsia="黑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CCF"/>
    <w:rsid w:val="00043438"/>
    <w:rsid w:val="00043B35"/>
    <w:rsid w:val="000721DB"/>
    <w:rsid w:val="00092642"/>
    <w:rsid w:val="00095E5D"/>
    <w:rsid w:val="000A502D"/>
    <w:rsid w:val="000C3F05"/>
    <w:rsid w:val="000E276D"/>
    <w:rsid w:val="000E62D5"/>
    <w:rsid w:val="00141AD0"/>
    <w:rsid w:val="0018355E"/>
    <w:rsid w:val="001D74B3"/>
    <w:rsid w:val="002033E6"/>
    <w:rsid w:val="00252387"/>
    <w:rsid w:val="00265B2E"/>
    <w:rsid w:val="00265F11"/>
    <w:rsid w:val="00292B73"/>
    <w:rsid w:val="002F4D17"/>
    <w:rsid w:val="00311CC2"/>
    <w:rsid w:val="0034608B"/>
    <w:rsid w:val="00357BE9"/>
    <w:rsid w:val="00362202"/>
    <w:rsid w:val="00372C9B"/>
    <w:rsid w:val="0037311B"/>
    <w:rsid w:val="003A587C"/>
    <w:rsid w:val="003C3424"/>
    <w:rsid w:val="00413484"/>
    <w:rsid w:val="00433771"/>
    <w:rsid w:val="00441923"/>
    <w:rsid w:val="00464099"/>
    <w:rsid w:val="0049392B"/>
    <w:rsid w:val="004F459C"/>
    <w:rsid w:val="00506D00"/>
    <w:rsid w:val="00520D4C"/>
    <w:rsid w:val="00525D94"/>
    <w:rsid w:val="0052750D"/>
    <w:rsid w:val="00527E19"/>
    <w:rsid w:val="00535A79"/>
    <w:rsid w:val="00564D1F"/>
    <w:rsid w:val="005A20BB"/>
    <w:rsid w:val="005C4739"/>
    <w:rsid w:val="00610A40"/>
    <w:rsid w:val="00682EF9"/>
    <w:rsid w:val="00696DD6"/>
    <w:rsid w:val="006A6DD0"/>
    <w:rsid w:val="00702ECB"/>
    <w:rsid w:val="0070399A"/>
    <w:rsid w:val="00710D95"/>
    <w:rsid w:val="0071304D"/>
    <w:rsid w:val="00716B93"/>
    <w:rsid w:val="00744A60"/>
    <w:rsid w:val="00745533"/>
    <w:rsid w:val="007859B7"/>
    <w:rsid w:val="007B47F7"/>
    <w:rsid w:val="007B4A49"/>
    <w:rsid w:val="007C0399"/>
    <w:rsid w:val="007D2FB6"/>
    <w:rsid w:val="007D36E9"/>
    <w:rsid w:val="007D75FE"/>
    <w:rsid w:val="007F3584"/>
    <w:rsid w:val="007F701C"/>
    <w:rsid w:val="0081531E"/>
    <w:rsid w:val="00827AB3"/>
    <w:rsid w:val="00843CB2"/>
    <w:rsid w:val="00845514"/>
    <w:rsid w:val="00852CCF"/>
    <w:rsid w:val="00857792"/>
    <w:rsid w:val="00860F62"/>
    <w:rsid w:val="00865072"/>
    <w:rsid w:val="008846E6"/>
    <w:rsid w:val="00886998"/>
    <w:rsid w:val="00893258"/>
    <w:rsid w:val="008A4E3B"/>
    <w:rsid w:val="008D10CF"/>
    <w:rsid w:val="008E2824"/>
    <w:rsid w:val="008F4654"/>
    <w:rsid w:val="00917A5D"/>
    <w:rsid w:val="00930FAE"/>
    <w:rsid w:val="009459E5"/>
    <w:rsid w:val="00961551"/>
    <w:rsid w:val="00976DD8"/>
    <w:rsid w:val="00987DC7"/>
    <w:rsid w:val="00990075"/>
    <w:rsid w:val="009933F8"/>
    <w:rsid w:val="009A1B43"/>
    <w:rsid w:val="009A1C62"/>
    <w:rsid w:val="009E3B54"/>
    <w:rsid w:val="00A4179D"/>
    <w:rsid w:val="00A4376A"/>
    <w:rsid w:val="00A522DF"/>
    <w:rsid w:val="00AA21A0"/>
    <w:rsid w:val="00AA5A44"/>
    <w:rsid w:val="00AE1986"/>
    <w:rsid w:val="00B15F7B"/>
    <w:rsid w:val="00B37ECA"/>
    <w:rsid w:val="00B65D28"/>
    <w:rsid w:val="00B737C0"/>
    <w:rsid w:val="00B913DA"/>
    <w:rsid w:val="00BC502E"/>
    <w:rsid w:val="00BD0171"/>
    <w:rsid w:val="00BE33A8"/>
    <w:rsid w:val="00C474D0"/>
    <w:rsid w:val="00C5086A"/>
    <w:rsid w:val="00C569E0"/>
    <w:rsid w:val="00C81D1D"/>
    <w:rsid w:val="00CD26C1"/>
    <w:rsid w:val="00D62CEA"/>
    <w:rsid w:val="00D740E6"/>
    <w:rsid w:val="00D87A03"/>
    <w:rsid w:val="00DA7433"/>
    <w:rsid w:val="00DB6A4F"/>
    <w:rsid w:val="00E31B43"/>
    <w:rsid w:val="00E33399"/>
    <w:rsid w:val="00E7332D"/>
    <w:rsid w:val="00ED072B"/>
    <w:rsid w:val="00EE46F2"/>
    <w:rsid w:val="00F1425D"/>
    <w:rsid w:val="00F14EE0"/>
    <w:rsid w:val="00F50DD4"/>
    <w:rsid w:val="00F701E1"/>
    <w:rsid w:val="00FA7DDC"/>
    <w:rsid w:val="00FC2E22"/>
    <w:rsid w:val="0F091110"/>
    <w:rsid w:val="59243FFA"/>
    <w:rsid w:val="60DE2E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页眉 字符"/>
    <w:basedOn w:val="7"/>
    <w:link w:val="5"/>
    <w:qFormat/>
    <w:uiPriority w:val="99"/>
    <w:rPr>
      <w:rFonts w:ascii="Calibri" w:hAnsi="Calibri" w:eastAsia="宋体" w:cs="Times New Roman"/>
      <w:sz w:val="18"/>
      <w:szCs w:val="18"/>
    </w:rPr>
  </w:style>
  <w:style w:type="character" w:customStyle="1" w:styleId="10">
    <w:name w:val="页脚 字符"/>
    <w:basedOn w:val="7"/>
    <w:link w:val="4"/>
    <w:qFormat/>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3"/>
    <w:semiHidden/>
    <w:qFormat/>
    <w:uiPriority w:val="99"/>
    <w:rPr>
      <w:rFonts w:ascii="Calibri" w:hAnsi="Calibri" w:eastAsia="宋体" w:cs="Times New Roman"/>
      <w:sz w:val="18"/>
      <w:szCs w:val="18"/>
    </w:rPr>
  </w:style>
  <w:style w:type="character" w:customStyle="1" w:styleId="13">
    <w:name w:val="批注文字 字符"/>
    <w:basedOn w:val="7"/>
    <w:link w:val="2"/>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257</Words>
  <Characters>1468</Characters>
  <Lines>12</Lines>
  <Paragraphs>3</Paragraphs>
  <TotalTime>0</TotalTime>
  <ScaleCrop>false</ScaleCrop>
  <LinksUpToDate>false</LinksUpToDate>
  <CharactersWithSpaces>1722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2018-05-22T07:12:00Z</dcterms:created>
  <dc:creator>zf</dc:creator>
  <cp:lastModifiedBy>寿燕妮</cp:lastModifiedBy>
  <dcterms:modified xsi:type="dcterms:W3CDTF">2021-10-14T03:19:40Z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3387403DF90E4FB1A8DCB921049936EB</vt:lpwstr>
  </property>
</Properties>
</file>