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64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center"/>
        <w:rPr>
          <w:rFonts w:ascii="微软雅黑" w:hAnsi="微软雅黑" w:eastAsia="微软雅黑" w:cs="微软雅黑"/>
          <w:b w:val="0"/>
          <w:bCs w:val="0"/>
          <w:i w:val="0"/>
          <w:iCs w:val="0"/>
          <w:caps w:val="0"/>
          <w:color w:val="666666"/>
          <w:spacing w:val="0"/>
          <w:sz w:val="16"/>
          <w:szCs w:val="16"/>
        </w:rPr>
      </w:pPr>
      <w:r>
        <w:rPr>
          <w:rFonts w:hint="eastAsia" w:ascii="微软雅黑" w:hAnsi="微软雅黑" w:eastAsia="微软雅黑" w:cs="微软雅黑"/>
          <w:b w:val="0"/>
          <w:bCs w:val="0"/>
          <w:i w:val="0"/>
          <w:iCs w:val="0"/>
          <w:caps w:val="0"/>
          <w:color w:val="666666"/>
          <w:spacing w:val="0"/>
          <w:sz w:val="43"/>
          <w:szCs w:val="43"/>
          <w:bdr w:val="none" w:color="auto" w:sz="0" w:space="0"/>
          <w:shd w:val="clear" w:fill="F9F9F9"/>
        </w:rPr>
        <w:t>贸易外汇收支企业名录”登记办理指南</w:t>
      </w:r>
    </w:p>
    <w:p w14:paraId="747C7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center"/>
        <w:rPr>
          <w:rFonts w:hint="eastAsia" w:ascii="微软雅黑" w:hAnsi="微软雅黑" w:eastAsia="微软雅黑" w:cs="微软雅黑"/>
          <w:b w:val="0"/>
          <w:bCs w:val="0"/>
          <w:i w:val="0"/>
          <w:iCs w:val="0"/>
          <w:caps w:val="0"/>
          <w:color w:val="666666"/>
          <w:spacing w:val="0"/>
          <w:sz w:val="16"/>
          <w:szCs w:val="16"/>
        </w:rPr>
      </w:pPr>
      <w:r>
        <w:rPr>
          <w:rFonts w:hint="eastAsia" w:ascii="微软雅黑" w:hAnsi="微软雅黑" w:eastAsia="微软雅黑" w:cs="微软雅黑"/>
          <w:b w:val="0"/>
          <w:bCs w:val="0"/>
          <w:i w:val="0"/>
          <w:iCs w:val="0"/>
          <w:caps w:val="0"/>
          <w:color w:val="666666"/>
          <w:spacing w:val="0"/>
          <w:sz w:val="16"/>
          <w:szCs w:val="16"/>
          <w:bdr w:val="none" w:color="auto" w:sz="0" w:space="0"/>
          <w:shd w:val="clear" w:fill="F9F9F9"/>
        </w:rPr>
        <w:t>　　</w:t>
      </w:r>
    </w:p>
    <w:p w14:paraId="77200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9"/>
          <w:szCs w:val="19"/>
          <w:bdr w:val="none" w:color="auto" w:sz="0" w:space="0"/>
          <w:shd w:val="clear" w:fill="F9F9F9"/>
        </w:rPr>
        <w:t>　　</w:t>
      </w:r>
    </w:p>
    <w:p w14:paraId="01421F50">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为进一步优化贸易外汇业务管理，便利企业跨境贸易业务办理，自2024 年6 月1 日起，企业可以在银行直接办理贸易外汇收支企业名录登记。</w:t>
      </w:r>
    </w:p>
    <w:p w14:paraId="7576CE33">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一、哪些企业需要办理名录登记？</w:t>
      </w:r>
    </w:p>
    <w:p w14:paraId="1E87309C">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开展货物贸易外汇收支业务的企业、确有客观需要开展货物贸易外汇收支业务的其他境内机构或个体工商户。小微跨境电商企业凭交易电子信息办理货物贸易外汇收支业务时，可免于办理名录登记。“小微跨境电商企业”是指年度货物贸易收汇或付汇累计金额低于等值20 万美元（不含）的跨境电商企业。</w:t>
      </w:r>
    </w:p>
    <w:p w14:paraId="60E7F65C">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二、什么时候办理？多久生效？</w:t>
      </w:r>
    </w:p>
    <w:p w14:paraId="665DC466">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开展货物贸易外汇收支业务的企业应在办理首笔资金收支前，在境内银行办理名录登记。银行为企业办理名录登记后，名录状态立刻生效。</w:t>
      </w:r>
    </w:p>
    <w:p w14:paraId="7EB46648">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三、名录登记办理流程</w:t>
      </w:r>
    </w:p>
    <w:p w14:paraId="1E040CC5">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1. 企业向我行提交《贸易外汇收支企业名录登记申请表》及相关材料（操作路径：登录企业手机银行/首页/国际结算/联络函，交易类型“其他OTHER”,详细内容里填写“贸易外汇收支企业名录登记申请，详情见附件”，并上传申请表。企业网上银行：登录企业网上银行/国际结算/国际业务联络函，其他参照企业手机银行操作。）</w:t>
      </w:r>
    </w:p>
    <w:p w14:paraId="183B18BB">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2. 我行通过数字外管平台（银行端）登记企业名录信息</w:t>
      </w:r>
    </w:p>
    <w:p w14:paraId="1BA3886C">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3. 我行告知申请企业数字外管平台（企业端）登录网址、管理员用户账户及初始密码</w:t>
      </w:r>
    </w:p>
    <w:p w14:paraId="236CC9B8">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4. 企业通过数字外管平台（企业端）查询名录登记办理结果</w:t>
      </w:r>
    </w:p>
    <w:p w14:paraId="4C673AC3">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四、已在外汇局办理“贸易外汇收支企业名录”登记的企业还需再前往银行办理名录登记吗？</w:t>
      </w:r>
    </w:p>
    <w:p w14:paraId="2A7EFDC8">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已在外汇局办理名录登记且名录未被注销的企业无需再前往银行办理名录登记。</w:t>
      </w:r>
    </w:p>
    <w:p w14:paraId="5EF05B5B">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五、企业信息发生变更了怎么办？</w:t>
      </w:r>
    </w:p>
    <w:p w14:paraId="75EDCDFA">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名录内企业的企业名称、统一社会信用代码、法定代表人、联系方式、注册地址发生变更的，企业应在变更事项发生之日起30 日内，凭列明变更事项的说明材料，在境内任一银行办理名录信息变更，无须与原名录登记办理银行一致。如企业变更注册地后所属外汇局变更的，企业应向原所在地外汇局报告并申请变更。</w:t>
      </w:r>
    </w:p>
    <w:p w14:paraId="7B8FC070">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六、哪些网点可以受理？</w:t>
      </w:r>
    </w:p>
    <w:p w14:paraId="342F77EF">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我行开办对公外汇业务的网点均可受理企业名录登记申请。如在办理名录登记中有任何疑问，可来行或致电咨询，我行将竭诚为您提供便捷优质的服务。</w:t>
      </w:r>
    </w:p>
    <w:p w14:paraId="3F597CA7">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9"/>
          <w:szCs w:val="19"/>
          <w:bdr w:val="none" w:color="auto" w:sz="0" w:space="0"/>
          <w:shd w:val="clear" w:fill="F9F9F9"/>
          <w:lang w:val="en-US" w:eastAsia="zh-CN" w:bidi="ar"/>
        </w:rPr>
        <w:t>　　服务小微服务大众。泰隆银行全国服务热线：95347。</w:t>
      </w:r>
    </w:p>
    <w:p w14:paraId="2117BC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9F9F9"/>
        </w:rPr>
        <w:t>　　</w:t>
      </w:r>
    </w:p>
    <w:p w14:paraId="4F242EB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1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2025-09-22T07:02:19Z</dcterms:created>
  <dc:creator>抱一</dc:creator>
  <cp:lastModifiedBy>镜子</cp:lastModifiedBy>
  <dcterms:modified xsi:type="dcterms:W3CDTF">2025-09-22T07:03:04Z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eyJoZGlkIjoiMDhjY2ZiMmY4NjQ2Zjg0ODM0MGIyMjg0YjgxY2Q0NWQiLCJ1c2VySWQiOiI0NDk0NDMwNjUifQ==</vt:lpwstr>
  </property>
  <property fmtid="{D5CDD505-2E9C-101B-9397-08002B2CF9AE}" pid="4" name="ICV">
    <vt:lpwstr>885CDD3C03A34710B41A89225B2CAC95_12</vt:lpwstr>
  </property>
</Properties>
</file>