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6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bCs w:val="0"/>
          <w:sz w:val="44"/>
          <w:szCs w:val="44"/>
          <w:lang w:val="en-US" w:eastAsia="zh-CN"/>
        </w:rPr>
      </w:pPr>
      <w:bookmarkStart w:id="0" w:name="_Toc24966"/>
      <w:r>
        <w:rPr>
          <w:rFonts w:hint="eastAsia" w:ascii="方正小标宋简体" w:hAnsi="Calibri" w:eastAsia="方正小标宋简体" w:cs="Times New Roman"/>
          <w:bCs w:val="0"/>
          <w:sz w:val="44"/>
          <w:szCs w:val="44"/>
          <w:lang w:val="en-US" w:eastAsia="zh-CN"/>
        </w:rPr>
        <w:t>福建龙海泰隆村镇银行股份有限公司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Calibri" w:eastAsia="方正小标宋简体" w:cs="Times New Roman"/>
          <w:bCs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Calibri" w:eastAsia="方正小标宋简体" w:cs="Times New Roman"/>
          <w:bCs w:val="0"/>
          <w:sz w:val="44"/>
          <w:szCs w:val="44"/>
          <w:lang w:val="en-US" w:eastAsia="zh-CN"/>
        </w:rPr>
        <w:t>5</w:t>
      </w:r>
      <w:r>
        <w:rPr>
          <w:rFonts w:hint="default" w:ascii="方正小标宋简体" w:hAnsi="Calibri" w:eastAsia="方正小标宋简体" w:cs="Times New Roman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Calibri" w:eastAsia="方正小标宋简体" w:cs="Times New Roman"/>
          <w:bCs w:val="0"/>
          <w:sz w:val="44"/>
          <w:szCs w:val="44"/>
          <w:lang w:val="en-US" w:eastAsia="zh-CN"/>
        </w:rPr>
        <w:t>第三季度</w:t>
      </w:r>
      <w:r>
        <w:rPr>
          <w:rFonts w:hint="default" w:ascii="方正小标宋简体" w:hAnsi="Calibri" w:eastAsia="方正小标宋简体" w:cs="Times New Roman"/>
          <w:bCs w:val="0"/>
          <w:sz w:val="44"/>
          <w:szCs w:val="44"/>
          <w:lang w:val="en-US" w:eastAsia="zh-CN"/>
        </w:rPr>
        <w:t>关联交易情况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本行按照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《银行保险机构关联交易管理办法》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相关规定，现将20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关联交易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Cs w:val="0"/>
          <w:sz w:val="32"/>
          <w:szCs w:val="32"/>
        </w:rPr>
        <w:t>关联方情况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截至2025年三季度末，全行关联方208家，其中关联自然人132人，关联法人或非法人组织76家。具体如下：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1.持股5%以上的主要股东4家，根据新规梳理的上述股东的关联自然人39人，关联法人或非法人组织47家。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2.董事、监事、总行高级管理人员，以及具有大额授信、资产转移等核心业务审批或决策权的人员共16人，其父母、配偶、成年子女、兄弟姐妹共77人,上述人员控制的法人或非法人组织25家。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Cs w:val="0"/>
          <w:sz w:val="32"/>
          <w:szCs w:val="32"/>
        </w:rPr>
        <w:t>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sz w:val="32"/>
          <w:szCs w:val="32"/>
        </w:rPr>
      </w:pPr>
      <w:r>
        <w:rPr>
          <w:rFonts w:hint="eastAsia" w:ascii="楷体" w:hAnsi="楷体" w:eastAsia="楷体" w:cs="楷体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Cs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</w:rPr>
        <w:t>截至20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bCs w:val="0"/>
          <w:sz w:val="32"/>
          <w:szCs w:val="32"/>
        </w:rPr>
        <w:t>季度末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，我行授信类关联交易余额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/>
          <w:bCs w:val="0"/>
          <w:sz w:val="32"/>
          <w:szCs w:val="32"/>
          <w:lang w:eastAsia="zh-CN"/>
        </w:rPr>
        <w:t>（其中一般授信类关联交易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/>
          <w:bCs w:val="0"/>
          <w:sz w:val="32"/>
          <w:szCs w:val="32"/>
          <w:lang w:eastAsia="zh-CN"/>
        </w:rPr>
        <w:t>，存放同业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,服务类关联交易金额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48.78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万元，资产转移类关联交易金额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万元，存款或其他类关联交易金额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（其中一般存款类关联交易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万元，同业存放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季度未发生重大关联交易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sz w:val="32"/>
          <w:szCs w:val="32"/>
        </w:rPr>
      </w:pPr>
      <w:r>
        <w:rPr>
          <w:rFonts w:hint="eastAsia" w:ascii="楷体" w:hAnsi="楷体" w:eastAsia="楷体" w:cs="楷体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Cs w:val="0"/>
          <w:sz w:val="32"/>
          <w:szCs w:val="32"/>
        </w:rPr>
        <w:t>关联交易集中度指标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 w:val="0"/>
          <w:sz w:val="32"/>
          <w:szCs w:val="32"/>
        </w:rPr>
      </w:pPr>
      <w:r>
        <w:rPr>
          <w:rFonts w:hint="default" w:ascii="Times New Roman" w:hAnsi="Times New Roman" w:eastAsia="仿宋_GB2312"/>
          <w:bCs w:val="0"/>
          <w:sz w:val="32"/>
          <w:szCs w:val="32"/>
        </w:rPr>
        <w:t>截至20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季度末，我行资本净额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23858.26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万元。全行前十大最大一家关联方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郑毅勇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授信净额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万元，占资本净额比例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0.21%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，未超过10%的监管标准；前十大关联集团最大一家关联集团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郑毅勇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授信净额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万元，占比资金净额比例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0.21%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，未超过15%的监管标准。全行关联交易总授信净额占资本净额比例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0.21%</w:t>
      </w:r>
      <w:r>
        <w:rPr>
          <w:rFonts w:hint="default" w:ascii="Times New Roman" w:hAnsi="Times New Roman" w:eastAsia="仿宋_GB2312"/>
          <w:bCs w:val="0"/>
          <w:sz w:val="32"/>
          <w:szCs w:val="32"/>
          <w:vertAlign w:val="superscript"/>
          <w:lang w:val="en-US" w:eastAsia="zh-CN"/>
        </w:rPr>
        <w:footnoteReference w:id="0"/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未超过50%的监管标准。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  <w:t>（三）分类关联交易情况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全行授信类关联交易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余额50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，服务类关联交易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48.78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，资产转移类关联交易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，存款类关联交易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其中具体分类详见下表：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445"/>
        <w:gridCol w:w="1171"/>
        <w:gridCol w:w="1809"/>
        <w:gridCol w:w="125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关联交易类别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授信类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服务类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资产转移类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存款类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股东及其关联方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关联交易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48.78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3098.78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除上述外的其他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方关联交易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48.78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3098.78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  <w:t>（四）重大关联交易情况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2025年三季度，</w:t>
      </w:r>
      <w:r>
        <w:rPr>
          <w:rFonts w:hint="eastAsia" w:ascii="Times New Roman" w:hAnsi="Times New Roman" w:eastAsia="仿宋_GB2312"/>
          <w:bCs w:val="0"/>
          <w:sz w:val="32"/>
          <w:szCs w:val="32"/>
          <w:lang w:eastAsia="zh-CN"/>
        </w:rPr>
        <w:t>我行无重大关联交易。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 w:val="0"/>
          <w:sz w:val="32"/>
          <w:szCs w:val="32"/>
          <w:lang w:val="en-US" w:eastAsia="zh-CN"/>
        </w:rPr>
        <w:t>（五）与发起行关联交易情况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截至20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季度末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我行和发起行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的关联交易有：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1.授信类关联交易，其中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存放同业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余额0万元。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2.服务类关联交易，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，我行与发起行的服务类关联交易为48.78万元。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3.资产转移类关联交易，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，我行与发起行无资产转移类关联交易。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4.存款类关联交易，其中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bCs w:val="0"/>
          <w:sz w:val="32"/>
          <w:szCs w:val="32"/>
          <w:lang w:val="en-US" w:eastAsia="zh-CN"/>
        </w:rPr>
        <w:t>同业存放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发生额3000万元。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Cs w:val="0"/>
          <w:sz w:val="32"/>
          <w:szCs w:val="32"/>
        </w:rPr>
        <w:t>关联交易风险</w:t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bCs w:val="0"/>
          <w:sz w:val="32"/>
          <w:szCs w:val="32"/>
        </w:rPr>
      </w:pPr>
      <w:r>
        <w:rPr>
          <w:rFonts w:hint="default" w:ascii="Times New Roman" w:hAnsi="Times New Roman" w:eastAsia="仿宋_GB2312"/>
          <w:bCs w:val="0"/>
          <w:sz w:val="32"/>
          <w:szCs w:val="32"/>
        </w:rPr>
        <w:t>截至20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季度末，我行正常类关联交易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笔，交易余额</w:t>
      </w:r>
      <w:r>
        <w:rPr>
          <w:rFonts w:hint="eastAsia" w:ascii="Times New Roman" w:hAnsi="Times New Roman" w:eastAsia="仿宋_GB2312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bCs w:val="0"/>
          <w:sz w:val="32"/>
          <w:szCs w:val="32"/>
          <w:lang w:eastAsia="zh-CN"/>
        </w:rPr>
        <w:t>我行授信类关联交易均未逾期或出现不良，五级分类均为正常类；其他类关联交易也均为正常类</w:t>
      </w:r>
      <w:r>
        <w:rPr>
          <w:rFonts w:hint="default" w:ascii="Times New Roman" w:hAnsi="Times New Roman" w:eastAsia="仿宋_GB2312"/>
          <w:bCs w:val="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theme="minorBidi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theme="minorBidi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theme="minorBidi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Cs w:val="0"/>
          <w:kern w:val="2"/>
          <w:sz w:val="32"/>
          <w:szCs w:val="32"/>
          <w:lang w:val="en-US" w:eastAsia="zh-CN" w:bidi="ar-SA"/>
        </w:rPr>
        <w:t>福建龙海泰隆村镇银行股份有限公司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theme="minorBidi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Cs w:val="0"/>
          <w:kern w:val="2"/>
          <w:sz w:val="32"/>
          <w:szCs w:val="32"/>
          <w:lang w:val="en-US" w:eastAsia="zh-CN" w:bidi="ar-SA"/>
        </w:rPr>
        <w:t>2025年10月11日</w:t>
      </w:r>
      <w:r>
        <w:rPr>
          <w:rFonts w:hint="eastAsia" w:ascii="Times New Roman" w:hAnsi="Times New Roman" w:cstheme="minorBidi"/>
          <w:bCs w:val="0"/>
          <w:kern w:val="2"/>
          <w:sz w:val="32"/>
          <w:szCs w:val="32"/>
          <w:lang w:val="en-US" w:eastAsia="zh-CN" w:bidi="ar-SA"/>
        </w:rPr>
        <w:t xml:space="preserve">        </w:t>
      </w:r>
    </w:p>
    <w:sectPr>
      <w:footerReference r:id="rId4" w:type="default"/>
      <w:pgSz w:w="11906" w:h="16838"/>
      <w:pgMar w:top="1814" w:right="1417" w:bottom="198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snapToGrid w:val="0"/>
      </w:pPr>
      <w:r>
        <w:rPr>
          <w:rStyle w:val="11"/>
        </w:rPr>
        <w:footnoteRef/>
      </w:r>
      <w:r>
        <w:t xml:space="preserve"> </w:t>
      </w:r>
      <w:r>
        <w:rPr>
          <w:rFonts w:hint="eastAsia"/>
          <w:lang w:eastAsia="zh-CN"/>
        </w:rPr>
        <w:t>该类比例计算口径均按监管要求剔除同业业务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248BE"/>
    <w:rsid w:val="46F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styleId="11">
    <w:name w:val="footnote reference"/>
    <w:basedOn w:val="10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2025-10-11T07:50:00Z</dcterms:created>
  <dc:creator>匿名用户</dc:creator>
  <cp:lastModifiedBy>匿名用户</cp:lastModifiedBy>
  <dcterms:modified xsi:type="dcterms:W3CDTF">2025-10-11T07:57:33Z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1A509BB93B864DFA912830ED344A9B41</vt:lpwstr>
  </property>
</Properties>
</file>