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2CCF">
      <w:pPr>
        <w:jc w:val="center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浙江泰隆商业银行钱潮系列1号关于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卖出23招商银行永续债01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关联交易的信息披露报告</w:t>
      </w:r>
    </w:p>
    <w:p w14:paraId="6A7D6A77">
      <w:pPr>
        <w:rPr>
          <w:highlight w:val="none"/>
        </w:rPr>
      </w:pPr>
    </w:p>
    <w:p w14:paraId="2CE1958A">
      <w:pPr>
        <w:spacing w:line="360" w:lineRule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尊敬的投资者：</w:t>
      </w:r>
    </w:p>
    <w:p w14:paraId="0B38E68B">
      <w:pPr>
        <w:spacing w:line="360" w:lineRule="auto"/>
        <w:ind w:firstLine="480" w:firstLineChars="200"/>
        <w:rPr>
          <w:rFonts w:hint="eastAsia" w:ascii="Times New Roman" w:hAnsi="Times New Roman"/>
          <w:sz w:val="2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根据监管的相关规定，现将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委托光证资管诚泰13号资产管理计划卖出的2023年招商银行股份有限公司无固定期限资本债券</w:t>
      </w:r>
      <w:r>
        <w:rPr>
          <w:rFonts w:ascii="宋体" w:hAnsi="宋体" w:eastAsia="宋体" w:cs="宋体"/>
          <w:sz w:val="24"/>
          <w:szCs w:val="24"/>
          <w:highlight w:val="none"/>
        </w:rPr>
        <w:t>（债券简称：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招行永续债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  <w:highlight w:val="none"/>
        </w:rPr>
        <w:t>债券代码：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242380033.IB</w:t>
      </w:r>
      <w:r>
        <w:rPr>
          <w:rFonts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关联交易的信息披露如下：</w:t>
      </w:r>
    </w:p>
    <w:p w14:paraId="6E6CAF18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一、投资标的概述及其基本情况 </w:t>
      </w:r>
    </w:p>
    <w:p w14:paraId="21886F7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（一）投资标的概述 </w:t>
      </w:r>
    </w:p>
    <w:p w14:paraId="626505E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于2026年4月14日通过光证资管诚泰13号资产管理计划卖出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招商银行股份有限公司</w:t>
      </w:r>
      <w:r>
        <w:rPr>
          <w:rFonts w:ascii="宋体" w:hAnsi="宋体" w:eastAsia="宋体" w:cs="宋体"/>
          <w:sz w:val="24"/>
          <w:szCs w:val="24"/>
          <w:highlight w:val="none"/>
        </w:rPr>
        <w:t>在银行间市场发行的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招行永续债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</w:t>
      </w:r>
      <w:r>
        <w:rPr>
          <w:rFonts w:ascii="宋体" w:hAnsi="宋体" w:eastAsia="宋体" w:cs="宋体"/>
          <w:sz w:val="24"/>
          <w:szCs w:val="24"/>
          <w:highlight w:val="none"/>
        </w:rPr>
        <w:t>，投资净价</w:t>
      </w:r>
      <w:bookmarkStart w:id="0" w:name="_GoBack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104.1905</w:t>
      </w:r>
      <w:bookmarkEnd w:id="0"/>
      <w:r>
        <w:rPr>
          <w:rFonts w:ascii="宋体" w:hAnsi="宋体" w:eastAsia="宋体" w:cs="宋体"/>
          <w:sz w:val="24"/>
          <w:szCs w:val="24"/>
          <w:highlight w:val="none"/>
        </w:rPr>
        <w:t>元，投资面额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600万</w:t>
      </w:r>
      <w:r>
        <w:rPr>
          <w:rFonts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528602C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投资标的基本情况 </w:t>
      </w:r>
    </w:p>
    <w:p w14:paraId="297C7FD6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2023年招商银行股份有限公司无固定期限资本债券</w:t>
      </w:r>
      <w:r>
        <w:rPr>
          <w:rFonts w:ascii="宋体" w:hAnsi="宋体" w:eastAsia="宋体" w:cs="宋体"/>
          <w:sz w:val="24"/>
          <w:szCs w:val="24"/>
          <w:highlight w:val="none"/>
        </w:rPr>
        <w:t>，发行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规模300</w:t>
      </w:r>
      <w:r>
        <w:rPr>
          <w:rFonts w:ascii="宋体" w:hAnsi="宋体" w:eastAsia="宋体" w:cs="宋体"/>
          <w:sz w:val="24"/>
          <w:szCs w:val="24"/>
          <w:highlight w:val="none"/>
        </w:rPr>
        <w:t>亿元，起息日为 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highlight w:val="none"/>
        </w:rPr>
        <w:t>日，票面利率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3.41</w:t>
      </w:r>
      <w:r>
        <w:rPr>
          <w:rFonts w:ascii="宋体" w:hAnsi="宋体" w:eastAsia="宋体" w:cs="宋体"/>
          <w:sz w:val="24"/>
          <w:szCs w:val="24"/>
          <w:highlight w:val="none"/>
        </w:rPr>
        <w:t>%，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期限5+N年</w:t>
      </w:r>
      <w:r>
        <w:rPr>
          <w:rFonts w:ascii="宋体" w:hAnsi="宋体" w:eastAsia="宋体" w:cs="宋体"/>
          <w:sz w:val="24"/>
          <w:szCs w:val="24"/>
          <w:highlight w:val="none"/>
        </w:rPr>
        <w:t>，发行人的主体信用级别为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A</w:t>
      </w:r>
      <w:r>
        <w:rPr>
          <w:rFonts w:ascii="宋体" w:hAnsi="宋体" w:eastAsia="宋体" w:cs="宋体"/>
          <w:sz w:val="24"/>
          <w:szCs w:val="24"/>
          <w:highlight w:val="none"/>
        </w:rPr>
        <w:t>AA。</w:t>
      </w:r>
    </w:p>
    <w:p w14:paraId="7A7B244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投资主体关联 </w:t>
      </w:r>
    </w:p>
    <w:p w14:paraId="4DAE327A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招商银行股份</w:t>
      </w:r>
      <w:r>
        <w:rPr>
          <w:rFonts w:ascii="宋体" w:hAnsi="宋体" w:eastAsia="宋体" w:cs="宋体"/>
          <w:sz w:val="24"/>
          <w:szCs w:val="24"/>
          <w:highlight w:val="none"/>
        </w:rPr>
        <w:t>有限公司为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钱潮系列1号理财产品资金托管机构，</w:t>
      </w:r>
      <w:r>
        <w:rPr>
          <w:rFonts w:ascii="宋体" w:hAnsi="宋体" w:eastAsia="宋体" w:cs="宋体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行关联方。 </w:t>
      </w:r>
    </w:p>
    <w:p w14:paraId="0D05744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三、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其他需要披露的信息 </w:t>
      </w:r>
    </w:p>
    <w:p w14:paraId="7649FE0B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上述交易符合《关于规范金融机构资产管理业务的指导意见》、《商业银行理财业务监督管理办法》等法规规范有关规定，本笔投资符合理财产品的投资目标、投资策略和投资者利益优先原则，按照商业原则，以不优于对非关联方同类交易的条件进行，特此披露。 </w:t>
      </w:r>
    </w:p>
    <w:p w14:paraId="4D0080C8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49D00440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6CAA114A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72FF2C57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11891B6C">
      <w:pPr>
        <w:ind w:firstLine="4800" w:firstLineChars="20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浙江泰隆银行股份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股份有限公司 </w:t>
      </w:r>
    </w:p>
    <w:p w14:paraId="5682817C">
      <w:pPr>
        <w:ind w:firstLine="6240" w:firstLineChars="2600"/>
        <w:rPr>
          <w:rFonts w:hint="default" w:eastAsia="宋体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14日</w:t>
      </w:r>
    </w:p>
    <w:p w14:paraId="46BF13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3034"/>
    <w:multiLevelType w:val="singleLevel"/>
    <w:tmpl w:val="9369303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4252B"/>
    <w:rsid w:val="00F40640"/>
    <w:rsid w:val="2E9B340A"/>
    <w:rsid w:val="321961B8"/>
    <w:rsid w:val="3BD81130"/>
    <w:rsid w:val="3D74252B"/>
    <w:rsid w:val="6998455C"/>
    <w:rsid w:val="70DB3EC5"/>
    <w:rsid w:val="78AF2284"/>
    <w:rsid w:val="7A8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546</Characters>
  <Lines>0</Lines>
  <Paragraphs>0</Paragraphs>
  <TotalTime>1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2024-03-06T03:14:00Z</dcterms:created>
  <dc:creator>Administrator</dc:creator>
  <cp:lastModifiedBy>张莹</cp:lastModifiedBy>
  <dcterms:modified xsi:type="dcterms:W3CDTF">2026-04-14T03:42:28Z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88FB97DD18984285929599FEBB24A2D4</vt:lpwstr>
  </property>
  <property fmtid="{D5CDD505-2E9C-101B-9397-08002B2CF9AE}" pid="4" name="KSOTemplateDocerSaveRecord">
    <vt:lpwstr>eyJoZGlkIjoiMWY3MjI0MjcxMjE1ZTVmYWMxZGFlYzBlZmMzNDc3ZGQiLCJ1c2VySWQiOiIyMTc1NDY0MzkifQ==</vt:lpwstr>
  </property>
</Properties>
</file>