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浙江泰隆商业银行钱潮系列1号·稳享3年期挂钩型理财096期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rFonts w:hint="eastAsia"/>
          <w:color w:val="auto"/>
          <w:u w:val="none"/>
          <w:lang w:val="en-US" w:eastAsia="zh-CN"/>
        </w:rPr>
        <w:t>4</w:t>
      </w:r>
      <w:r>
        <w:rPr>
          <w:rFonts w:hint="eastAsia"/>
          <w:highlight w:val="none"/>
          <w:lang w:val="en-US" w:eastAsia="zh-CN"/>
        </w:rPr>
        <w:t>季度</w:t>
      </w:r>
      <w:r>
        <w:rPr>
          <w:rFonts w:hint="eastAsia"/>
          <w:lang w:val="en-US" w:eastAsia="zh-CN"/>
        </w:rPr>
        <w:t>季报</w:t>
      </w:r>
    </w:p>
    <w:p>
      <w:pPr>
        <w:pStyle w:val="2"/>
        <w:bidi w:val="0"/>
        <w:jc w:val="cente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浙江泰隆商业银行钱潮系列1号·稳享3年期挂钩型理财096期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w:t>
      </w:r>
      <w:r>
        <w:rPr>
          <w:rFonts w:hint="eastAsia"/>
          <w:color w:val="auto"/>
          <w:u w:val="none"/>
          <w:lang w:val="en-US" w:eastAsia="zh-CN"/>
        </w:rPr>
        <w:t>10</w:t>
      </w:r>
      <w:r>
        <w:rPr>
          <w:color w:val="auto"/>
          <w:u w:val="none"/>
        </w:rPr>
        <w:t>-01起至2026-</w:t>
      </w:r>
      <w:r>
        <w:rPr>
          <w:rFonts w:hint="eastAsia"/>
          <w:color w:val="auto"/>
          <w:u w:val="none"/>
          <w:lang w:val="en-US" w:eastAsia="zh-CN"/>
        </w:rPr>
        <w:t>10</w:t>
      </w:r>
      <w:r>
        <w:rPr>
          <w:color w:val="auto"/>
          <w:u w:val="none"/>
        </w:rPr>
        <w:t>-</w:t>
      </w:r>
      <w:r>
        <w:rPr>
          <w:rFonts w:hint="eastAsia"/>
          <w:color w:val="auto"/>
          <w:u w:val="none"/>
          <w:lang w:val="en-US" w:eastAsia="zh-CN"/>
        </w:rPr>
        <w:t>14</w:t>
      </w:r>
      <w:r>
        <w:rPr>
          <w:color w:val="auto"/>
          <w:u w:val="none"/>
        </w:rPr>
        <w:t>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349"/>
        <w:gridCol w:w="1695"/>
        <w:gridCol w:w="4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CC096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浙江泰隆商业银行钱潮系列1号·稳享3年期挂钩型理财096期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621"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C1092923000173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621"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621"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621"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621"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2.00%-8.00%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29730000.00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621"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621"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w:t>
            </w:r>
            <w:r>
              <w:rPr>
                <w:rFonts w:hint="eastAsia" w:ascii="宋体" w:hAnsi="宋体" w:eastAsia="宋体" w:cs="宋体"/>
                <w:color w:val="000000"/>
                <w:sz w:val="22"/>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621"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621"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99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627"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浙江泰隆商业银行钱潮系列1号·稳享3年期挂钩型理财096期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378"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9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627"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78"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994"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627"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35707990.01元，产品份额净值为 1.20107602元，产品份额累计净值为1.20107602元。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2.1554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3.9307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5.5649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成立以来(2023-10-10至2026-10-14)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6.6660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5.8759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6.7013</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2026-10-14。理财产品的过往业绩由管理人计算提供，过往业绩不代表其未来表现，不等于理财产品实际收益，投资须谨慎。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37311800.48</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37311800.48</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37,311,800.48</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center"/>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37,311,800.48</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bookmarkStart w:id="0" w:name="_GoBack"/>
            <w:bookmarkEnd w:id="0"/>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vMerge w:val="restart"/>
            <w:tcBorders>
              <w:top w:val="single" w:color="auto" w:sz="4" w:space="0"/>
              <w:left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vMerge w:val="continue"/>
            <w:tcBorders>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37,311,800.48</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37,311,800.48</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29,471.19</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29,730,000.00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5,977,990.01</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35,707,990.01</w:t>
            </w:r>
          </w:p>
        </w:tc>
      </w:tr>
    </w:tbl>
    <w:p>
      <w:pPr>
        <w:numPr>
          <w:ilvl w:val="0"/>
          <w:numId w:val="0"/>
        </w:numPr>
        <w:ind w:leftChars="0"/>
        <w:rPr>
          <w:rFonts w:hint="default" w:cstheme="minorBidi"/>
          <w:b w:val="0"/>
          <w:bCs w:val="0"/>
          <w:color w:val="FF0000"/>
          <w:kern w:val="2"/>
          <w:sz w:val="24"/>
          <w:szCs w:val="32"/>
          <w:lang w:val="en-US" w:eastAsia="zh-CN" w:bidi="ar-SA"/>
        </w:rPr>
      </w:pPr>
    </w:p>
    <w:p>
      <w:pPr>
        <w:numPr>
          <w:ilvl w:val="0"/>
          <w:numId w:val="0"/>
        </w:numPr>
        <w:ind w:leftChars="0"/>
        <w:rPr>
          <w:rFonts w:hint="default" w:cstheme="minorBidi"/>
          <w:b w:val="0"/>
          <w:bCs w:val="0"/>
          <w:color w:val="FF0000"/>
          <w:kern w:val="2"/>
          <w:sz w:val="24"/>
          <w:szCs w:val="32"/>
          <w:lang w:val="en-US" w:eastAsia="zh-CN" w:bidi="ar-SA"/>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0A4926"/>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1807C8"/>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1DD7AF9"/>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474009"/>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0B779E"/>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58A7B8A"/>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9</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2026-11-04T01:20:36Z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