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asciiTheme="minorEastAsia" w:hAnsiTheme="minorEastAsia" w:eastAsiaTheme="minorEastAsia" w:cstheme="minorEastAsia"/>
          <w:b/>
          <w:bCs/>
          <w:color w:val="000000"/>
          <w:kern w:val="0"/>
          <w:szCs w:val="21"/>
        </w:rPr>
        <w:t>浙江泰隆商业银行钱潮系列1号·致远3年期挂钩型理财103期</w:t>
      </w:r>
      <w:r>
        <w:rPr>
          <w:rFonts w:hint="eastAsia" w:asciiTheme="minorEastAsia" w:hAnsiTheme="minorEastAsia" w:eastAsiaTheme="minorEastAsia" w:cstheme="minorEastAsia"/>
          <w:b/>
          <w:bCs/>
          <w:color w:val="000000"/>
          <w:kern w:val="0"/>
          <w:szCs w:val="21"/>
          <w:lang w:val="en-US" w:eastAsia="zh-CN"/>
        </w:rPr>
        <w:t>2026</w:t>
      </w:r>
      <w:r>
        <w:rPr>
          <w:rFonts w:hint="eastAsia" w:asciiTheme="minorEastAsia" w:hAnsiTheme="minorEastAsia" w:eastAsiaTheme="minorEastAsia" w:cstheme="minorEastAsia"/>
          <w:highlight w:val="none"/>
          <w:lang w:val="en-US" w:eastAsia="zh-CN"/>
        </w:rPr>
        <w:t>年第</w:t>
      </w:r>
      <w:r>
        <w:rPr>
          <w:color w:val="auto"/>
          <w:u w:val="none"/>
        </w:rPr>
        <w:t>4</w:t>
      </w:r>
      <w:r>
        <w:rPr>
          <w:rFonts w:hint="eastAsia"/>
          <w:highlight w:val="none"/>
          <w:lang w:val="en-US" w:eastAsia="zh-CN"/>
        </w:rPr>
        <w:t>季度</w:t>
      </w:r>
      <w:r>
        <w:rPr>
          <w:rFonts w:hint="eastAsia"/>
          <w:lang w:val="en-US" w:eastAsia="zh-CN"/>
        </w:rPr>
        <w:t>季报</w:t>
      </w: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重要提示</w:t>
      </w:r>
    </w:p>
    <w:p>
      <w:pPr>
        <w:rPr>
          <w:rFonts w:hint="eastAsia"/>
          <w:lang w:val="en-US" w:eastAsia="zh-CN"/>
        </w:rPr>
      </w:pPr>
    </w:p>
    <w:p>
      <w:pPr>
        <w:numPr>
          <w:ilvl w:val="0"/>
          <w:numId w:val="2"/>
        </w:numPr>
        <w:ind w:left="-73" w:leftChars="0" w:firstLine="283" w:firstLineChars="0"/>
        <w:rPr>
          <w:rFonts w:hint="eastAsia"/>
          <w:lang w:val="en-US" w:eastAsia="zh-CN"/>
        </w:rPr>
      </w:pPr>
      <w:r>
        <w:rPr>
          <w:rFonts w:hint="eastAsia"/>
          <w:lang w:val="en-US" w:eastAsia="zh-CN"/>
        </w:rPr>
        <w:t>本报告适用于</w:t>
      </w:r>
      <w:r>
        <w:rPr>
          <w:rFonts w:hint="eastAsia"/>
          <w:b w:val="0"/>
          <w:bCs w:val="0"/>
          <w:color w:val="auto"/>
          <w:lang w:val="en-US" w:eastAsia="zh-CN"/>
        </w:rPr>
        <w:t>浙江泰隆商业银行钱潮系列1号·致远3年期挂钩型理财103期</w:t>
      </w:r>
      <w:r>
        <w:rPr>
          <w:color w:val="auto"/>
          <w:u w:val="none"/>
        </w:rPr>
        <w:t>，</w:t>
      </w:r>
      <w:r>
        <w:rPr>
          <w:rFonts w:hint="eastAsia"/>
          <w:lang w:val="en-US" w:eastAsia="zh-CN"/>
        </w:rPr>
        <w:t>理财产品管理人保证本报告所载资料不存在虚假记载、误导性陈述或重大遗漏。</w:t>
      </w:r>
    </w:p>
    <w:p>
      <w:pPr>
        <w:numPr>
          <w:ilvl w:val="0"/>
          <w:numId w:val="2"/>
        </w:numPr>
        <w:ind w:left="-73" w:leftChars="0" w:firstLine="283" w:firstLineChars="0"/>
        <w:rPr>
          <w:rFonts w:hint="default"/>
          <w:lang w:val="en-US" w:eastAsia="zh-CN"/>
        </w:rPr>
      </w:pPr>
      <w:r>
        <w:rPr>
          <w:rFonts w:hint="eastAsia"/>
          <w:lang w:val="en-US" w:eastAsia="zh-CN"/>
        </w:rPr>
        <w:t>理财产品管理人承诺以诚实信用、勤勉尽责的原则管理和运用理财产品资产，但不保证理财产品本金和收益。本产品为净值型产品，业绩表现将随市场波动，具有不确定性，</w:t>
      </w:r>
      <w:r>
        <w:rPr>
          <w:rFonts w:hint="eastAsia"/>
          <w:b/>
          <w:bCs/>
          <w:lang w:val="en-US" w:eastAsia="zh-CN"/>
        </w:rPr>
        <w:t>理财产品过往业绩并不代表其未来表现，不等于理财产品实际收益。理财非存款、产品有风险、投资须谨慎，</w:t>
      </w:r>
      <w:r>
        <w:rPr>
          <w:rFonts w:hint="eastAsia"/>
          <w:lang w:val="en-US" w:eastAsia="zh-CN"/>
        </w:rPr>
        <w:t>投资者在作出投资决策前应仔细阅读本理财产品的销售文件。</w:t>
      </w:r>
    </w:p>
    <w:p>
      <w:pPr>
        <w:numPr>
          <w:ilvl w:val="0"/>
          <w:numId w:val="2"/>
        </w:numPr>
        <w:ind w:left="-73" w:leftChars="0" w:firstLine="283" w:firstLineChars="0"/>
        <w:rPr>
          <w:rFonts w:hint="default"/>
          <w:lang w:val="en-US" w:eastAsia="zh-CN"/>
        </w:rPr>
      </w:pPr>
      <w:r>
        <w:rPr>
          <w:rFonts w:hint="eastAsia"/>
          <w:lang w:val="en-US" w:eastAsia="zh-CN"/>
        </w:rPr>
        <w:t>本报告期自</w:t>
      </w:r>
      <w:r>
        <w:rPr>
          <w:color w:val="auto"/>
          <w:u w:val="none"/>
        </w:rPr>
        <w:t>2026-10-01起至2026-10-21止。</w:t>
      </w:r>
    </w:p>
    <w:p>
      <w:pPr>
        <w:numPr>
          <w:ilvl w:val="0"/>
          <w:numId w:val="2"/>
        </w:numPr>
        <w:ind w:left="-73" w:leftChars="0" w:firstLine="283" w:firstLineChars="0"/>
        <w:rPr>
          <w:rFonts w:hint="default"/>
          <w:lang w:val="en-US" w:eastAsia="zh-CN"/>
        </w:rPr>
      </w:pPr>
      <w:r>
        <w:rPr>
          <w:rFonts w:hint="eastAsia"/>
          <w:lang w:val="en-US" w:eastAsia="zh-CN"/>
        </w:rPr>
        <w:t>注:除非本报告另有说明，本报告内的“元”均指“人民币元”。</w:t>
      </w:r>
    </w:p>
    <w:p>
      <w:pPr>
        <w:rPr>
          <w:rFonts w:hint="default"/>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理财产品基本情况</w:t>
      </w:r>
    </w:p>
    <w:p>
      <w:pPr>
        <w:numPr>
          <w:ilvl w:val="0"/>
          <w:numId w:val="0"/>
        </w:numPr>
        <w:rPr>
          <w:rFonts w:hint="default"/>
          <w:b/>
          <w:bCs/>
          <w:sz w:val="24"/>
          <w:szCs w:val="32"/>
          <w:lang w:val="en-US" w:eastAsia="zh-CN"/>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869"/>
        <w:gridCol w:w="1650"/>
        <w:gridCol w:w="5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产品代码</w:t>
            </w:r>
          </w:p>
        </w:tc>
        <w:tc>
          <w:tcPr>
            <w:tcW w:w="3903"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CC103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3903"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浙江泰隆商业银行钱潮系列1号·致远3年期挂钩型理财103期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产品登记编码</w:t>
            </w:r>
          </w:p>
        </w:tc>
        <w:tc>
          <w:tcPr>
            <w:tcW w:w="3903"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C1092923000184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投资类型</w:t>
            </w:r>
          </w:p>
        </w:tc>
        <w:tc>
          <w:tcPr>
            <w:tcW w:w="3903"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sz w:val="22"/>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募集方式</w:t>
            </w:r>
          </w:p>
        </w:tc>
        <w:tc>
          <w:tcPr>
            <w:tcW w:w="3903"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sz w:val="22"/>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产品运作方式</w:t>
            </w:r>
          </w:p>
        </w:tc>
        <w:tc>
          <w:tcPr>
            <w:tcW w:w="3903"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收益类型</w:t>
            </w:r>
          </w:p>
        </w:tc>
        <w:tc>
          <w:tcPr>
            <w:tcW w:w="3903"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color w:val="000000"/>
                <w:sz w:val="22"/>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业绩比较基准（如有）</w:t>
            </w:r>
          </w:p>
        </w:tc>
        <w:tc>
          <w:tcPr>
            <w:tcW w:w="3903"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0.00%-14.80%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业绩比较基准测算说明（如有）</w:t>
            </w:r>
          </w:p>
        </w:tc>
        <w:tc>
          <w:tcPr>
            <w:tcW w:w="3903"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hint="eastAsia" w:ascii="宋体" w:hAnsi="宋体" w:eastAsia="宋体" w:cs="宋体"/>
                <w:color w:val="000000"/>
                <w:sz w:val="22"/>
              </w:rPr>
              <w:t>本产品属性为固定收益类产品，投资于固定收益类资产不低于80%。管理人将根据市场环境和产品特点灵活选择票息策略、骑乘策略、杠杆息差策略、大类资产配置策略等。业绩比较基准基于本产品性质、投资策略、投资范围内各类资产的收益率水平、投资比例、过往经验，扣除相关税费等成本后综合得出。（特别说明：产品表现会跟随市场波动，业绩比较基准不是理财产品预期收益率，仅作为产品投资管理的业绩比较基础，用于计算我行费用，不构成对产品实际投资收益率的承诺或担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存续规模（份）</w:t>
            </w:r>
          </w:p>
        </w:tc>
        <w:tc>
          <w:tcPr>
            <w:tcW w:w="3903"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5060000.00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杠杆水平（%）</w:t>
            </w:r>
          </w:p>
        </w:tc>
        <w:tc>
          <w:tcPr>
            <w:tcW w:w="3903"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产品风险评级</w:t>
            </w:r>
          </w:p>
        </w:tc>
        <w:tc>
          <w:tcPr>
            <w:tcW w:w="3903"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产品成立日</w:t>
            </w:r>
          </w:p>
        </w:tc>
        <w:tc>
          <w:tcPr>
            <w:tcW w:w="3903"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2023-10-24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产品计划到期日</w:t>
            </w:r>
          </w:p>
        </w:tc>
        <w:tc>
          <w:tcPr>
            <w:tcW w:w="3903"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报告期</w:t>
            </w:r>
          </w:p>
        </w:tc>
        <w:tc>
          <w:tcPr>
            <w:tcW w:w="3903"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2026-10-2</w:t>
            </w:r>
            <w:r>
              <w:rPr>
                <w:rFonts w:hint="eastAsia" w:ascii="宋体" w:hAnsi="宋体" w:eastAsia="宋体" w:cs="宋体"/>
                <w:color w:val="000000"/>
                <w:sz w:val="22"/>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理财产品管理人</w:t>
            </w:r>
          </w:p>
        </w:tc>
        <w:tc>
          <w:tcPr>
            <w:tcW w:w="3903"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理财资产托管人</w:t>
            </w:r>
          </w:p>
        </w:tc>
        <w:tc>
          <w:tcPr>
            <w:tcW w:w="3903"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vMerge w:val="restar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投资账户信息</w:t>
            </w:r>
          </w:p>
        </w:tc>
        <w:tc>
          <w:tcPr>
            <w:tcW w:w="96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投资账户户名</w:t>
            </w:r>
          </w:p>
        </w:tc>
        <w:tc>
          <w:tcPr>
            <w:tcW w:w="2935"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浙江泰隆商业银行钱潮系列1号·致远3年期挂钩型理财103期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96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投资账户账号</w:t>
            </w:r>
          </w:p>
        </w:tc>
        <w:tc>
          <w:tcPr>
            <w:tcW w:w="2935" w:type="pct"/>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955930002610177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96"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96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投资账户开户行</w:t>
            </w:r>
          </w:p>
        </w:tc>
        <w:tc>
          <w:tcPr>
            <w:tcW w:w="2935"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招商银行杭州分行营业部</w:t>
            </w:r>
          </w:p>
        </w:tc>
      </w:tr>
    </w:tbl>
    <w:p>
      <w:pPr>
        <w:keepNext w:val="0"/>
        <w:keepLines w:val="0"/>
        <w:widowControl/>
        <w:suppressLineNumbers w:val="0"/>
        <w:jc w:val="left"/>
        <w:rPr>
          <w:rFonts w:hint="eastAsia"/>
          <w:b/>
          <w:bCs/>
          <w:sz w:val="24"/>
          <w:szCs w:val="32"/>
          <w:lang w:val="en-US" w:eastAsia="zh-CN"/>
        </w:rPr>
      </w:pPr>
      <w:r>
        <w:rPr>
          <w:rFonts w:hint="eastAsia"/>
          <w:lang w:val="en-US" w:eastAsia="zh-CN"/>
        </w:rPr>
        <w:t>备注：</w:t>
      </w:r>
      <w:r>
        <w:rPr>
          <w:rFonts w:hint="eastAsia" w:ascii="宋体" w:hAnsi="宋体" w:eastAsia="宋体" w:cs="宋体"/>
          <w:color w:val="000000"/>
          <w:kern w:val="0"/>
          <w:sz w:val="21"/>
          <w:szCs w:val="21"/>
          <w:lang w:val="en-US" w:eastAsia="zh-CN" w:bidi="ar"/>
        </w:rPr>
        <w:t>本产品为净值型产品，业绩表现将随市场波动，具有不确定性。</w:t>
      </w:r>
      <w:r>
        <w:rPr>
          <w:rFonts w:hint="eastAsia"/>
          <w:lang w:val="en-US" w:eastAsia="zh-CN"/>
        </w:rPr>
        <w:t>业绩比较基准是产品管理人基于产品性质、投资策略、过往经验等因素测算所得，</w:t>
      </w:r>
      <w:r>
        <w:rPr>
          <w:rFonts w:hint="eastAsia"/>
          <w:b/>
          <w:bCs/>
          <w:sz w:val="24"/>
          <w:szCs w:val="32"/>
          <w:lang w:val="en-US" w:eastAsia="zh-CN"/>
        </w:rPr>
        <w:t>业绩比较基准不是预期收益率，不代表产品的未来表现和实际收益，不构成对产品收益的承诺！</w:t>
      </w:r>
    </w:p>
    <w:p>
      <w:pPr>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理财产品收益表现</w:t>
      </w:r>
    </w:p>
    <w:p>
      <w:pPr>
        <w:numPr>
          <w:ilvl w:val="0"/>
          <w:numId w:val="0"/>
        </w:numPr>
        <w:ind w:leftChars="0"/>
        <w:rPr>
          <w:rFonts w:hint="eastAsia"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截止报告期末理财产品净值表现</w:t>
      </w:r>
    </w:p>
    <w:p>
      <w:pPr>
        <w:numPr>
          <w:ilvl w:val="0"/>
          <w:numId w:val="0"/>
        </w:numPr>
        <w:ind w:left="210" w:leftChars="0" w:firstLine="210" w:firstLineChars="100"/>
        <w:rPr>
          <w:rFonts w:hint="eastAsia"/>
          <w:lang w:val="en-US" w:eastAsia="zh-CN"/>
        </w:rPr>
      </w:pP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截至本报告期末，产品的资产净值为</w:t>
      </w:r>
      <w:r>
        <w:rPr>
          <w:rFonts w:ascii="宋体" w:hAnsi="宋体" w:eastAsia="宋体" w:cs="宋体"/>
          <w:color w:val="000000"/>
          <w:sz w:val="24"/>
          <w:u w:val="none"/>
        </w:rPr>
        <w:t xml:space="preserve">6372912.03元，产品份额净值为 1.25946878元，产品份额累计净值为1.25946878元。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注：份额净值=资产净值/份额总额；份额累计净值=份额净值+产品成立后份额的累计分红金额。</w:t>
      </w:r>
    </w:p>
    <w:p>
      <w:pPr>
        <w:widowControl w:val="0"/>
        <w:numPr>
          <w:ilvl w:val="0"/>
          <w:numId w:val="0"/>
        </w:numPr>
        <w:jc w:val="both"/>
        <w:rPr>
          <w:rFonts w:hint="default"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理财产品年化收益率表现</w:t>
      </w:r>
    </w:p>
    <w:p>
      <w:pPr>
        <w:numPr>
          <w:ilvl w:val="0"/>
          <w:numId w:val="0"/>
        </w:numPr>
        <w:rPr>
          <w:rFonts w:hint="default"/>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时间区间</w:t>
            </w:r>
          </w:p>
        </w:tc>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年化收益率（%）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近一月(2026-09-22至2026-10-21)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-14.2122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近三月(2026-07-24至2026-10-21)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-4.208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近六月(2026-04-24至2026-10-21)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-0.9428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近一年(2025-10-22至2026-10-21)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7.3507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成立以来(2023-10-24至2026-10-21)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8.6569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2025年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9.3629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2024年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9.1727</w:t>
            </w:r>
          </w:p>
        </w:tc>
      </w:tr>
    </w:tbl>
    <w:p>
      <w:pPr>
        <w:rPr>
          <w:rFonts w:hint="eastAsia"/>
          <w:lang w:val="en-US" w:eastAsia="zh-CN"/>
        </w:rPr>
      </w:pPr>
      <w:r>
        <w:rPr>
          <w:rFonts w:hint="eastAsia"/>
          <w:lang w:val="en-US" w:eastAsia="zh-CN"/>
        </w:rPr>
        <w:t>备注：</w:t>
      </w:r>
    </w:p>
    <w:p>
      <w:pPr>
        <w:rPr>
          <w:rFonts w:hint="eastAsia"/>
          <w:lang w:val="en-US" w:eastAsia="zh-CN"/>
        </w:rPr>
      </w:pPr>
      <w:r>
        <w:rPr>
          <w:rFonts w:hint="eastAsia"/>
          <w:lang w:val="en-US" w:eastAsia="zh-CN"/>
        </w:rPr>
        <w:t>1.以上数据截止：</w:t>
      </w:r>
      <w:r>
        <w:rPr>
          <w:color w:val="auto"/>
          <w:u w:val="none"/>
        </w:rPr>
        <w:t>2026-10-21。理财产品的过往业绩由管理人计算提供，过往业绩不代表其未来表现，不等于理财产品实际收益，投资须谨慎。</w:t>
      </w:r>
    </w:p>
    <w:p>
      <w:pPr>
        <w:rPr>
          <w:rFonts w:hint="eastAsia"/>
          <w:lang w:val="en-US" w:eastAsia="zh-CN"/>
        </w:rPr>
      </w:pPr>
      <w:r>
        <w:rPr>
          <w:rFonts w:hint="eastAsia"/>
          <w:lang w:val="en-US" w:eastAsia="zh-CN"/>
        </w:rPr>
        <w:t xml:space="preserve">2.近 N 月年化收益率（%）=（最新产品累计单位净值-N月前累计单位净值）/（N月前单位净值*365/区间天数*100%。区间天数为产品前N月（或首个披露的有效净值日期，不含该日）至报告期末有效净值日期（含该日）累计运作天数。展示区间起始时间为近N月的有效净值日期，截止时间为本报告期期末。 </w:t>
      </w:r>
    </w:p>
    <w:p>
      <w:pPr>
        <w:keepNext w:val="0"/>
        <w:keepLines w:val="0"/>
        <w:widowControl/>
        <w:suppressLineNumbers w:val="0"/>
        <w:jc w:val="left"/>
        <w:rPr>
          <w:rFonts w:hint="eastAsia"/>
          <w:lang w:val="en-US" w:eastAsia="zh-CN"/>
        </w:rPr>
      </w:pPr>
      <w:r>
        <w:rPr>
          <w:rFonts w:hint="eastAsia"/>
          <w:lang w:val="en-US" w:eastAsia="zh-CN"/>
        </w:rPr>
        <w:t>3.X年年化收益率（%）=（</w:t>
      </w:r>
      <w:r>
        <w:rPr>
          <w:rFonts w:hint="default"/>
          <w:lang w:val="en-US" w:eastAsia="zh-CN"/>
        </w:rPr>
        <w:t>XX</w:t>
      </w:r>
      <w:r>
        <w:rPr>
          <w:rFonts w:hint="eastAsia"/>
          <w:lang w:val="en-US" w:eastAsia="zh-CN"/>
        </w:rPr>
        <w:t>年</w:t>
      </w:r>
      <w:r>
        <w:rPr>
          <w:rFonts w:hint="default"/>
          <w:lang w:val="en-US" w:eastAsia="zh-CN"/>
        </w:rPr>
        <w:t>12</w:t>
      </w:r>
      <w:r>
        <w:rPr>
          <w:rFonts w:hint="eastAsia"/>
          <w:lang w:val="en-US" w:eastAsia="zh-CN"/>
        </w:rPr>
        <w:t>月</w:t>
      </w:r>
      <w:r>
        <w:rPr>
          <w:rFonts w:hint="default"/>
          <w:lang w:val="en-US" w:eastAsia="zh-CN"/>
        </w:rPr>
        <w:t>31</w:t>
      </w:r>
      <w:r>
        <w:rPr>
          <w:rFonts w:hint="eastAsia"/>
          <w:lang w:val="en-US" w:eastAsia="zh-CN"/>
        </w:rPr>
        <w:t>日产品累计单位净值-上一年度12月3</w:t>
      </w:r>
      <w:r>
        <w:rPr>
          <w:rFonts w:hint="default"/>
          <w:lang w:val="en-US" w:eastAsia="zh-CN"/>
        </w:rPr>
        <w:t>1</w:t>
      </w:r>
      <w:r>
        <w:rPr>
          <w:rFonts w:hint="eastAsia"/>
          <w:lang w:val="en-US" w:eastAsia="zh-CN"/>
        </w:rPr>
        <w:t>日产品累计单位净值）/上一年度12月3</w:t>
      </w:r>
      <w:r>
        <w:rPr>
          <w:rFonts w:hint="default"/>
          <w:lang w:val="en-US" w:eastAsia="zh-CN"/>
        </w:rPr>
        <w:t>1</w:t>
      </w:r>
      <w:r>
        <w:rPr>
          <w:rFonts w:hint="eastAsia"/>
          <w:lang w:val="en-US" w:eastAsia="zh-CN"/>
        </w:rPr>
        <w:t xml:space="preserve">日产品单位净值*365/区间天数*100%。区间天数为该完整会计年度的天数。 </w:t>
      </w:r>
    </w:p>
    <w:p>
      <w:pPr>
        <w:keepNext w:val="0"/>
        <w:keepLines w:val="0"/>
        <w:widowControl/>
        <w:suppressLineNumbers w:val="0"/>
        <w:jc w:val="left"/>
        <w:rPr>
          <w:rFonts w:hint="eastAsia"/>
          <w:lang w:val="en-US" w:eastAsia="zh-CN"/>
        </w:rPr>
      </w:pPr>
      <w:r>
        <w:rPr>
          <w:rFonts w:hint="eastAsia"/>
          <w:lang w:val="en-US" w:eastAsia="zh-CN"/>
        </w:rPr>
        <w:t xml:space="preserve">4.成立至今年化收益率（%）=（最新的产品累计单位净值-1）/1*365/区间天数*100%。区间天数为产品成立日期（含该日）至报告期末净值日期（含该日）累计运作天数。 </w:t>
      </w:r>
    </w:p>
    <w:p>
      <w:pPr>
        <w:keepNext w:val="0"/>
        <w:keepLines w:val="0"/>
        <w:widowControl/>
        <w:suppressLineNumbers w:val="0"/>
        <w:jc w:val="left"/>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产品业绩比较基准历史调整情况</w:t>
      </w:r>
    </w:p>
    <w:p>
      <w:pPr>
        <w:widowControl w:val="0"/>
        <w:numPr>
          <w:ilvl w:val="0"/>
          <w:numId w:val="0"/>
        </w:numPr>
        <w:jc w:val="both"/>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 </w:t>
      </w:r>
    </w:p>
    <w:p>
      <w:pPr>
        <w:keepNext w:val="0"/>
        <w:keepLines w:val="0"/>
        <w:widowControl/>
        <w:suppressLineNumbers w:val="0"/>
        <w:ind w:firstLine="480" w:firstLineChars="20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产品业绩比较基准未发生过调整。</w:t>
      </w:r>
    </w:p>
    <w:p>
      <w:pPr>
        <w:keepNext w:val="0"/>
        <w:keepLines w:val="0"/>
        <w:widowControl/>
        <w:suppressLineNumbers w:val="0"/>
        <w:jc w:val="left"/>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产品历史收益分配情况</w:t>
      </w:r>
    </w:p>
    <w:p>
      <w:pPr>
        <w:numPr>
          <w:ilvl w:val="0"/>
          <w:numId w:val="0"/>
        </w:numPr>
        <w:ind w:leftChars="0"/>
        <w:rPr>
          <w:rFonts w:hint="eastAsia"/>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widowControl w:val="0"/>
              <w:numPr>
                <w:ilvl w:val="0"/>
                <w:numId w:val="0"/>
              </w:numPr>
              <w:jc w:val="center"/>
              <w:rPr>
                <w:rFonts w:hint="default"/>
                <w:b w:val="0"/>
                <w:bCs w:val="0"/>
                <w:sz w:val="21"/>
                <w:szCs w:val="24"/>
                <w:vertAlign w:val="baseline"/>
                <w:lang w:val="en-US" w:eastAsia="zh-CN"/>
              </w:rPr>
            </w:pPr>
            <w:r>
              <w:rPr>
                <w:rFonts w:hint="eastAsia"/>
                <w:b/>
                <w:bCs/>
                <w:sz w:val="21"/>
                <w:szCs w:val="24"/>
                <w:vertAlign w:val="baseline"/>
                <w:lang w:val="en-US" w:eastAsia="zh-CN"/>
              </w:rPr>
              <w:t>产品历史分红情况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8" w:type="dxa"/>
            <w:vAlign w:val="top"/>
          </w:tcPr>
          <w:p>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sz w:val="22"/>
                <w:szCs w:val="22"/>
                <w:u w:val="none"/>
              </w:rPr>
              <w:t>收益分配基准日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权益登记日、除权日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现金红利发放日</w:t>
            </w:r>
          </w:p>
        </w:tc>
        <w:tc>
          <w:tcPr>
            <w:tcW w:w="2136"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单位分红金额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pPr>
              <w:widowControl w:val="0"/>
              <w:numPr>
                <w:ilvl w:val="0"/>
                <w:numId w:val="0"/>
              </w:num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50"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r>
    </w:tbl>
    <w:p>
      <w:pPr>
        <w:keepNext w:val="0"/>
        <w:keepLines w:val="0"/>
        <w:widowControl/>
        <w:suppressLineNumbers w:val="0"/>
        <w:jc w:val="left"/>
        <w:rPr>
          <w:rFonts w:hint="eastAsia"/>
          <w:lang w:val="en-US" w:eastAsia="zh-CN"/>
        </w:rPr>
      </w:pPr>
      <w:r>
        <w:rPr>
          <w:rFonts w:hint="eastAsia"/>
          <w:lang w:val="en-US" w:eastAsia="zh-CN"/>
        </w:rPr>
        <w:t>注：1.产品分配的收益在分红除权日从产品总净值里扣除；2.每份分配的收益保留六位小数（第六位小数四舍五入），实际收益以实际到账金额为准；3.产品的分红行为将导致产品单位净值发生变化，但不会影响产品的风险收益特征。</w:t>
      </w:r>
    </w:p>
    <w:p>
      <w:pPr>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投资组合报告</w:t>
      </w:r>
    </w:p>
    <w:p>
      <w:pPr>
        <w:numPr>
          <w:ilvl w:val="0"/>
          <w:numId w:val="0"/>
        </w:numPr>
        <w:ind w:leftChars="0"/>
        <w:rPr>
          <w:rFonts w:hint="eastAsia" w:cstheme="minorBidi"/>
          <w:b/>
          <w:bCs/>
          <w:kern w:val="2"/>
          <w:sz w:val="24"/>
          <w:szCs w:val="32"/>
          <w:lang w:val="en-US" w:eastAsia="zh-CN" w:bidi="ar-SA"/>
        </w:rPr>
      </w:pPr>
    </w:p>
    <w:p>
      <w:pPr>
        <w:numPr>
          <w:ilvl w:val="0"/>
          <w:numId w:val="4"/>
        </w:numPr>
        <w:ind w:left="0" w:leftChars="0" w:firstLine="42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报告期期末投资组合情况</w:t>
      </w:r>
    </w:p>
    <w:p>
      <w:pPr>
        <w:rPr>
          <w:rFonts w:hint="eastAsia" w:ascii="黑体" w:hAnsi="黑体" w:eastAsia="黑体" w:cs="宋体"/>
          <w:color w:val="000000"/>
          <w:kern w:val="0"/>
          <w:sz w:val="20"/>
          <w:szCs w:val="20"/>
        </w:rPr>
      </w:pPr>
    </w:p>
    <w:tbl>
      <w:tblPr>
        <w:tblStyle w:val="4"/>
        <w:tblW w:w="4998"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576"/>
        <w:gridCol w:w="2872"/>
        <w:gridCol w:w="1208"/>
        <w:gridCol w:w="1350"/>
        <w:gridCol w:w="1343"/>
        <w:gridCol w:w="117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restart"/>
            <w:tcBorders>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序号</w:t>
            </w:r>
          </w:p>
        </w:tc>
        <w:tc>
          <w:tcPr>
            <w:tcW w:w="1685" w:type="pct"/>
            <w:vMerge w:val="restart"/>
            <w:tcBorders>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资产种类</w:t>
            </w:r>
          </w:p>
        </w:tc>
        <w:tc>
          <w:tcPr>
            <w:tcW w:w="1501" w:type="pct"/>
            <w:gridSpan w:val="2"/>
            <w:tcBorders>
              <w:left w:val="nil"/>
              <w:bottom w:val="single" w:color="auto" w:sz="4" w:space="0"/>
              <w:right w:val="single" w:color="000000"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穿透前</w:t>
            </w:r>
          </w:p>
        </w:tc>
        <w:tc>
          <w:tcPr>
            <w:tcW w:w="1474" w:type="pct"/>
            <w:gridSpan w:val="2"/>
            <w:tcBorders>
              <w:left w:val="nil"/>
              <w:bottom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穿透后</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continue"/>
            <w:tcBorders>
              <w:bottom w:val="single" w:color="auto" w:sz="4" w:space="0"/>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p>
        </w:tc>
        <w:tc>
          <w:tcPr>
            <w:tcW w:w="1685" w:type="pct"/>
            <w:vMerge w:val="continue"/>
            <w:tcBorders>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（单位：元）</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rPr>
              <w:t>（单位：元）</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1</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Arial"/>
                <w:sz w:val="18"/>
                <w:szCs w:val="18"/>
              </w:rPr>
              <w:t>现金、货币市场工具类</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6677321.75</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6677321.75</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hint="eastAsia" w:ascii="黑体" w:hAnsi="黑体" w:eastAsia="黑体" w:cs="Arial"/>
                <w:kern w:val="2"/>
                <w:sz w:val="18"/>
                <w:szCs w:val="18"/>
                <w:lang w:val="en-US" w:eastAsia="zh-CN" w:bidi="ar-SA"/>
              </w:rPr>
            </w:pPr>
            <w:r>
              <w:rPr>
                <w:rFonts w:hint="eastAsia" w:ascii="黑体" w:hAnsi="黑体" w:eastAsia="黑体" w:cs="Arial"/>
                <w:sz w:val="18"/>
                <w:szCs w:val="18"/>
              </w:rPr>
              <w:t>2</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Arial"/>
                <w:sz w:val="18"/>
                <w:szCs w:val="18"/>
              </w:rPr>
              <w:t>债券、ABS等标准化固定收益资产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3</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资产管理产品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4</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商品</w:t>
            </w:r>
            <w:r>
              <w:rPr>
                <w:rFonts w:hint="eastAsia" w:ascii="黑体" w:hAnsi="黑体" w:eastAsia="黑体" w:cs="Arial"/>
                <w:sz w:val="18"/>
                <w:szCs w:val="18"/>
                <w:lang w:val="en-US" w:eastAsia="zh-CN"/>
              </w:rPr>
              <w:t>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5</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lang w:val="en-US" w:eastAsia="zh-CN"/>
              </w:rPr>
              <w:t>金融衍生品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6</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bidi="ar-SA"/>
              </w:rPr>
              <w:t>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7</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8</w:t>
            </w:r>
          </w:p>
        </w:tc>
        <w:tc>
          <w:tcPr>
            <w:tcW w:w="1685" w:type="pct"/>
            <w:tcBorders>
              <w:top w:val="single" w:color="auto" w:sz="4" w:space="0"/>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其他符合监管要求的债权类资产</w:t>
            </w:r>
          </w:p>
        </w:tc>
        <w:tc>
          <w:tcPr>
            <w:tcW w:w="709" w:type="pct"/>
            <w:tcBorders>
              <w:top w:val="single" w:color="auto" w:sz="4" w:space="0"/>
              <w:left w:val="nil"/>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bl>
    <w:p>
      <w:pPr>
        <w:rPr>
          <w:rFonts w:hint="eastAsia" w:ascii="黑体" w:hAnsi="黑体" w:eastAsia="黑体" w:cs="宋体"/>
          <w:color w:val="000000"/>
          <w:kern w:val="0"/>
          <w:sz w:val="20"/>
          <w:szCs w:val="20"/>
        </w:rPr>
      </w:pPr>
    </w:p>
    <w:p>
      <w:pPr>
        <w:numPr>
          <w:ilvl w:val="0"/>
          <w:numId w:val="4"/>
        </w:numPr>
        <w:ind w:left="0" w:leftChars="0" w:firstLine="420" w:firstLineChars="0"/>
        <w:rPr>
          <w:rFonts w:hint="eastAsia" w:ascii="黑体" w:hAnsi="黑体" w:eastAsia="黑体" w:cs="宋体"/>
          <w:color w:val="000000"/>
          <w:kern w:val="0"/>
          <w:sz w:val="20"/>
          <w:szCs w:val="20"/>
        </w:rPr>
      </w:pPr>
      <w:r>
        <w:rPr>
          <w:rFonts w:hint="eastAsia" w:cstheme="minorBidi"/>
          <w:b/>
          <w:bCs/>
          <w:kern w:val="2"/>
          <w:sz w:val="24"/>
          <w:szCs w:val="32"/>
          <w:lang w:val="en-US" w:eastAsia="zh-CN" w:bidi="ar-SA"/>
        </w:rPr>
        <w:t>报告期期末投资组合前十项</w:t>
      </w:r>
    </w:p>
    <w:p>
      <w:pPr>
        <w:numPr>
          <w:ilvl w:val="0"/>
          <w:numId w:val="0"/>
        </w:numPr>
        <w:ind w:left="420" w:leftChars="0"/>
        <w:rPr>
          <w:rFonts w:hint="default" w:ascii="黑体" w:hAnsi="黑体" w:eastAsia="黑体" w:cs="宋体"/>
          <w:color w:val="000000"/>
          <w:kern w:val="0"/>
          <w:sz w:val="20"/>
          <w:szCs w:val="20"/>
          <w:lang w:val="en-US" w:eastAsia="zh-CN"/>
        </w:rPr>
      </w:pPr>
      <w:r>
        <w:rPr>
          <w:rFonts w:hint="eastAsia" w:eastAsia="黑体"/>
          <w:lang w:val="en-US" w:eastAsia="zh-CN"/>
        </w:rPr>
        <w:t>1.报告期期末投资组合前十项（穿透前）</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Theme="minorHAnsi" w:hAnsiTheme="minorHAnsi" w:eastAsiaTheme="minorEastAsia" w:cstheme="minorBidi"/>
                <w:kern w:val="2"/>
                <w:sz w:val="21"/>
                <w:szCs w:val="24"/>
                <w:lang w:val="en-US" w:eastAsia="zh-CN" w:bidi="ar-SA"/>
              </w:rPr>
            </w:pPr>
            <w:r>
              <w:rPr>
                <w:rFonts w:hint="eastAsia" w:ascii="黑体" w:hAnsi="黑体" w:eastAsia="黑体" w:cs="宋体"/>
                <w:color w:val="000000"/>
                <w:kern w:val="0"/>
                <w:sz w:val="18"/>
                <w:szCs w:val="18"/>
              </w:rPr>
              <w:t>6,677,321.75</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Pr>
        <w:numPr>
          <w:ilvl w:val="0"/>
          <w:numId w:val="0"/>
        </w:numPr>
        <w:ind w:left="420" w:leftChars="0"/>
        <w:rPr>
          <w:rFonts w:hint="default"/>
          <w:lang w:val="en-US"/>
        </w:rPr>
      </w:pPr>
      <w:r>
        <w:rPr>
          <w:rFonts w:hint="eastAsia" w:eastAsia="黑体"/>
          <w:lang w:val="en-US" w:eastAsia="zh-CN"/>
        </w:rPr>
        <w:t>2.报告期期末投资组合前十项（穿透后）</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707"/>
              </w:tabs>
              <w:ind w:firstLine="720" w:firstLineChars="400"/>
              <w:jc w:val="left"/>
              <w:rPr>
                <w:rFonts w:hint="eastAsia" w:ascii="黑体" w:hAnsi="黑体" w:eastAsia="黑体" w:cs="黑体"/>
                <w:color w:val="000000"/>
                <w:kern w:val="0"/>
                <w:sz w:val="18"/>
                <w:szCs w:val="18"/>
                <w:lang w:eastAsia="zh-CN"/>
              </w:rPr>
            </w:pPr>
            <w:r>
              <w:rPr>
                <w:rFonts w:hint="eastAsia" w:ascii="黑体" w:hAnsi="黑体" w:eastAsia="黑体" w:cs="宋体"/>
                <w:color w:val="000000"/>
                <w:kern w:val="0"/>
                <w:sz w:val="18"/>
                <w:szCs w:val="18"/>
              </w:rPr>
              <w:t>6,677,321.75</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非标准化债权资产信息</w:t>
      </w:r>
    </w:p>
    <w:tbl>
      <w:tblPr>
        <w:tblStyle w:val="4"/>
        <w:tblW w:w="4998" w:type="pct"/>
        <w:tblInd w:w="0" w:type="dxa"/>
        <w:tblLayout w:type="autofit"/>
        <w:tblCellMar>
          <w:top w:w="0" w:type="dxa"/>
          <w:left w:w="108" w:type="dxa"/>
          <w:bottom w:w="0" w:type="dxa"/>
          <w:right w:w="108" w:type="dxa"/>
        </w:tblCellMar>
      </w:tblPr>
      <w:tblGrid>
        <w:gridCol w:w="2240"/>
        <w:gridCol w:w="1280"/>
        <w:gridCol w:w="866"/>
        <w:gridCol w:w="1475"/>
        <w:gridCol w:w="936"/>
        <w:gridCol w:w="959"/>
        <w:gridCol w:w="763"/>
      </w:tblGrid>
      <w:tr>
        <w:trPr>
          <w:trHeight w:val="465" w:hRule="atLeast"/>
        </w:trPr>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序号</w:t>
            </w:r>
          </w:p>
        </w:tc>
        <w:tc>
          <w:tcPr>
            <w:tcW w:w="75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融资客户</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项目名称</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剩余融资期限（天）</w:t>
            </w:r>
          </w:p>
        </w:tc>
        <w:tc>
          <w:tcPr>
            <w:tcW w:w="54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交易结构</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到期收益分配</w:t>
            </w:r>
          </w:p>
        </w:tc>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风险状况</w:t>
            </w:r>
          </w:p>
        </w:tc>
      </w:tr>
      <w:tr>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eastAsia="zh-CN"/>
              </w:rPr>
            </w:pPr>
            <w:r>
              <w:rPr>
                <w:rFonts w:hint="eastAsia" w:ascii="黑体" w:hAnsi="黑体" w:eastAsia="黑体" w:cs="宋体"/>
                <w:color w:val="000000"/>
                <w:kern w:val="0"/>
                <w:sz w:val="18"/>
                <w:szCs w:val="18"/>
                <w:lang w:val="en-US" w:eastAsia="zh-CN"/>
              </w:rPr>
              <w:t>无</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报告期末商品及金融衍生品资产信息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4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资产名称</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投资金额</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公允价值变化</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keepNext w:val="0"/>
              <w:keepLines w:val="0"/>
              <w:widowControl/>
              <w:suppressLineNumbers w:val="0"/>
              <w:jc w:val="left"/>
              <w:rPr>
                <w:sz w:val="18"/>
                <w:szCs w:val="21"/>
                <w:vertAlign w:val="baseline"/>
              </w:rPr>
            </w:pPr>
            <w:r>
              <w:rPr>
                <w:rFonts w:hint="eastAsia" w:ascii="宋体" w:hAnsi="宋体" w:eastAsia="宋体" w:cs="宋体"/>
                <w:color w:val="000000"/>
                <w:kern w:val="0"/>
                <w:sz w:val="18"/>
                <w:szCs w:val="18"/>
                <w:lang w:val="en-US" w:eastAsia="zh-CN" w:bidi="ar"/>
              </w:rPr>
              <w:t xml:space="preserve">注：公允价值变化=Σ｛本报告期期末衍生品市值-上一报告期期末衍生品市值（若上一报告期期末无持仓则取买入起始日）｝ </w:t>
            </w:r>
          </w:p>
        </w:tc>
      </w:tr>
    </w:tbl>
    <w:p>
      <w:pPr>
        <w:widowControl/>
        <w:jc w:val="left"/>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备：上述披露信息为该产品报告日投资情况，该数据仅供参考，实际投资比例以银行投资运作情况为准，泰隆银行对上述披露信息有最终解释权。</w:t>
      </w:r>
    </w:p>
    <w:p>
      <w:pPr>
        <w:widowControl/>
        <w:jc w:val="left"/>
        <w:rPr>
          <w:rFonts w:hint="eastAsia" w:ascii="黑体" w:hAnsi="黑体" w:eastAsia="黑体" w:cs="宋体"/>
          <w:color w:val="000000"/>
          <w:kern w:val="0"/>
          <w:sz w:val="18"/>
          <w:szCs w:val="18"/>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报告期内关联交易发生情况</w:t>
      </w:r>
    </w:p>
    <w:p>
      <w:pPr>
        <w:numPr>
          <w:ilvl w:val="0"/>
          <w:numId w:val="0"/>
        </w:numPr>
        <w:ind w:left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 xml:space="preserve">    无。</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投资组合的主要投资策略和风险分析</w:t>
      </w:r>
    </w:p>
    <w:p>
      <w:pPr>
        <w:numPr>
          <w:ilvl w:val="-1"/>
          <w:numId w:val="0"/>
        </w:numPr>
        <w:ind w:left="0" w:leftChars="0" w:firstLine="0" w:firstLineChars="0"/>
        <w:rPr>
          <w:rFonts w:hint="eastAsia" w:cstheme="minorBidi"/>
          <w:b/>
          <w:bCs/>
          <w:kern w:val="2"/>
          <w:sz w:val="24"/>
          <w:szCs w:val="32"/>
          <w:lang w:val="en-US" w:eastAsia="zh-CN" w:bidi="ar-SA"/>
        </w:rPr>
      </w:pPr>
    </w:p>
    <w:p>
      <w:pPr>
        <w:numPr>
          <w:ilvl w:val="-1"/>
          <w:numId w:val="0"/>
        </w:numPr>
        <w:ind w:leftChars="0"/>
        <w:rPr>
          <w:rFonts w:hint="eastAsia" w:cstheme="minorBidi"/>
          <w:b/>
          <w:bCs/>
          <w:color w:val="auto"/>
          <w:kern w:val="2"/>
          <w:sz w:val="24"/>
          <w:szCs w:val="32"/>
          <w:lang w:val="en-US" w:eastAsia="zh-CN" w:bidi="ar-SA"/>
        </w:rPr>
      </w:pPr>
      <w:r>
        <w:rPr>
          <w:rFonts w:hint="eastAsia" w:asciiTheme="minorHAnsi" w:hAnsiTheme="minorHAnsi" w:eastAsiaTheme="minorEastAsia" w:cstheme="minorBidi"/>
          <w:b/>
          <w:bCs/>
          <w:color w:val="auto"/>
          <w:kern w:val="2"/>
          <w:sz w:val="24"/>
          <w:szCs w:val="32"/>
          <w:lang w:val="en-US" w:eastAsia="zh-CN" w:bidi="ar-SA"/>
        </w:rPr>
        <w:t>（一）</w:t>
      </w:r>
      <w:r>
        <w:rPr>
          <w:rFonts w:hint="eastAsia" w:cstheme="minorBidi"/>
          <w:b/>
          <w:bCs/>
          <w:color w:val="auto"/>
          <w:kern w:val="2"/>
          <w:sz w:val="24"/>
          <w:szCs w:val="32"/>
          <w:lang w:val="en-US" w:eastAsia="zh-CN" w:bidi="ar-SA"/>
        </w:rPr>
        <w:t>主要投资策略</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本产品是“固收+期权”的投资组合结构，固收部分主要配置高等级信用债，严控久期和杠杆，以获得稳健的票息收入和资本利得；期权部分挂钩钱潮大类资产趋势策略指数，通过大类资产配置，跟踪资产趋势，力争为组合增厚收益。</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p>
    <w:p>
      <w:pPr>
        <w:numPr>
          <w:ilvl w:val="-1"/>
          <w:numId w:val="0"/>
        </w:numPr>
        <w:ind w:left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（二）主要风险分析</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本期产品在日常经营活动中涉及风险主要包括信用风险、流动性风险及市场风险。我司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通过相关程序和规章制度对上述风险进行严格控制。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 信用风险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信用风险是指产品在交易过程中因交易对手未履行合约责任，或者产品所投资证券发行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人出现违约、拒绝支付到期本息，导致产品资产损失和收益变化的风险。本产品投资于具有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较高主体评级、履约能力较强的高信用债券及较高信用评级交易对手发行的同业往来资产，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保持对资产持有期间债券发行人和交易对手的经营状况及与其偿付能力相关舆情的密切关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注，严控信用风险。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 流动性风险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流动性风险是指产品所持金融工具变现的难易程度。本产品以流动性较强的投资品种为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核心，投资范围包括但不限于银行存款、同业存单、银行间债券市场和证券交易所发行的债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券、质押式回购等；同时，持续监测、分析流动性指标，定期预测产品流动性需求，严格按照相关制度办法进行流动性风险管理。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3、市场风险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市场风险是指产品所持金融工具的公允价值或未来现金流量因所处市场各类价格因素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的变动而发生波动的风险。本产品主要投资于收益及期限相适宜的固定收益类资产，通过对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国内外宏观经济形势、市场利率走势的研判，结合逐日盯市等，严控市场风险。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产品整体运作情况 </w:t>
      </w:r>
    </w:p>
    <w:p>
      <w:pPr>
        <w:numPr>
          <w:ilvl w:val="0"/>
          <w:numId w:val="0"/>
        </w:numPr>
        <w:ind w:leftChars="0"/>
        <w:rPr>
          <w:rFonts w:hint="eastAsia" w:cstheme="minorBidi"/>
          <w:b/>
          <w:bCs/>
          <w:kern w:val="2"/>
          <w:sz w:val="24"/>
          <w:szCs w:val="32"/>
          <w:lang w:val="en-US" w:eastAsia="zh-CN" w:bidi="ar-SA"/>
        </w:rPr>
      </w:pP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（一）自本产品成立起至本报告日，产品管理人恪尽职守、勤勉尽责、谨慎管理，忠实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履行有关法律、行政法规和相关文件的规定。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（二）截至本报告日，所有投资资产正常运营，未发现有异常情况或者不利情况。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（三）本产品自成立至本报告日，没有发生涉诉等损害投资者利益的情形。</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季度财务会计报告(三表)</w:t>
      </w:r>
    </w:p>
    <w:p>
      <w:pPr>
        <w:numPr>
          <w:ilvl w:val="0"/>
          <w:numId w:val="0"/>
        </w:numPr>
        <w:ind w:leftChars="0"/>
        <w:rPr>
          <w:rFonts w:hint="eastAsia" w:cstheme="minorBidi"/>
          <w:b/>
          <w:bCs/>
          <w:kern w:val="2"/>
          <w:sz w:val="24"/>
          <w:szCs w:val="32"/>
          <w:lang w:val="en-US" w:eastAsia="zh-CN" w:bidi="ar-SA"/>
        </w:rPr>
      </w:pPr>
    </w:p>
    <w:tbl>
      <w:tblPr>
        <w:tblStyle w:val="4"/>
        <w:tblW w:w="8652" w:type="dxa"/>
        <w:tblInd w:w="103" w:type="dxa"/>
        <w:tblLayout w:type="fixed"/>
        <w:tblCellMar>
          <w:top w:w="0" w:type="dxa"/>
          <w:left w:w="108" w:type="dxa"/>
          <w:bottom w:w="0" w:type="dxa"/>
          <w:right w:w="108" w:type="dxa"/>
        </w:tblCellMar>
      </w:tblPr>
      <w:tblGrid>
        <w:gridCol w:w="1442"/>
        <w:gridCol w:w="1398"/>
        <w:gridCol w:w="44"/>
        <w:gridCol w:w="1442"/>
        <w:gridCol w:w="1208"/>
        <w:gridCol w:w="1152"/>
        <w:gridCol w:w="1966"/>
      </w:tblGrid>
      <w:tr>
        <w:tblPrEx>
          <w:tblCellMar>
            <w:top w:w="0" w:type="dxa"/>
            <w:left w:w="108" w:type="dxa"/>
            <w:bottom w:w="0" w:type="dxa"/>
            <w:right w:w="108" w:type="dxa"/>
          </w:tblCellMar>
        </w:tblPrEx>
        <w:trPr>
          <w:trHeight w:val="424"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20"/>
                <w:szCs w:val="20"/>
              </w:rPr>
            </w:pPr>
            <w:r>
              <w:rPr>
                <w:rFonts w:hint="eastAsia" w:ascii="黑体" w:hAnsi="黑体" w:eastAsia="黑体" w:cs="宋体"/>
                <w:b/>
                <w:color w:val="000000"/>
                <w:kern w:val="0"/>
                <w:sz w:val="20"/>
                <w:szCs w:val="20"/>
              </w:rPr>
              <w:t>资产负债表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1442"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资产</w:t>
            </w: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负债和所有者权益</w:t>
            </w: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r>
      <w:tr>
        <w:tblPrEx>
          <w:tblCellMar>
            <w:top w:w="0" w:type="dxa"/>
            <w:left w:w="108" w:type="dxa"/>
            <w:bottom w:w="0" w:type="dxa"/>
            <w:right w:w="108" w:type="dxa"/>
          </w:tblCellMar>
        </w:tblPrEx>
        <w:trPr>
          <w:trHeight w:val="375" w:hRule="atLeast"/>
        </w:trPr>
        <w:tc>
          <w:tcPr>
            <w:tcW w:w="1442"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6,677,321.75</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6,677,321.75</w:t>
            </w:r>
          </w:p>
        </w:tc>
      </w:tr>
      <w:tr>
        <w:tblPrEx>
          <w:tblCellMar>
            <w:top w:w="0" w:type="dxa"/>
            <w:left w:w="108" w:type="dxa"/>
            <w:bottom w:w="0" w:type="dxa"/>
            <w:right w:w="108" w:type="dxa"/>
          </w:tblCellMar>
        </w:tblPrEx>
        <w:trPr>
          <w:trHeight w:val="406"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利润表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综合收益总额</w:t>
            </w:r>
          </w:p>
        </w:tc>
        <w:tc>
          <w:tcPr>
            <w:tcW w:w="5768"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-15,254.25</w:t>
            </w:r>
          </w:p>
        </w:tc>
      </w:tr>
      <w:tr>
        <w:tblPrEx>
          <w:tblCellMar>
            <w:top w:w="0" w:type="dxa"/>
            <w:left w:w="108" w:type="dxa"/>
            <w:bottom w:w="0" w:type="dxa"/>
            <w:right w:w="108" w:type="dxa"/>
          </w:tblCellMar>
        </w:tblPrEx>
        <w:trPr>
          <w:trHeight w:val="287"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所有者权益表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实收基金</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未分配利润</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所有者权益合计</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5,060,000.00</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1,312,912.03</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6,372,912.03</w:t>
            </w:r>
          </w:p>
        </w:tc>
      </w:tr>
      <w:tr>
        <w:tblPrEx>
          <w:tblCellMar>
            <w:top w:w="0" w:type="dxa"/>
            <w:left w:w="108" w:type="dxa"/>
            <w:bottom w:w="0" w:type="dxa"/>
            <w:right w:w="108" w:type="dxa"/>
          </w:tblCellMar>
        </w:tblPrEx>
        <w:trPr>
          <w:trHeight w:val="112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备注：上述披露信息为该产品报告日日终的投资情况，该数据仅供参考，实际投资比例以银行投资运作情况为准，泰隆银行对上述披露信息有最终解释权。</w:t>
            </w:r>
          </w:p>
        </w:tc>
      </w:tr>
    </w:tbl>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numPr>
          <w:ilvl w:val="0"/>
          <w:numId w:val="0"/>
        </w:numPr>
        <w:ind w:leftChars="0"/>
        <w:rPr>
          <w:rFonts w:hint="default" w:cstheme="minorBidi"/>
          <w:b w:val="0"/>
          <w:bCs w:val="0"/>
          <w:color w:val="FF0000"/>
          <w:kern w:val="2"/>
          <w:sz w:val="24"/>
          <w:szCs w:val="32"/>
          <w:lang w:val="en-US" w:eastAsia="zh-CN" w:bidi="ar-SA"/>
        </w:rPr>
      </w:pP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6F1D1"/>
    <w:multiLevelType w:val="singleLevel"/>
    <w:tmpl w:val="E4E6F1D1"/>
    <w:lvl w:ilvl="0" w:tentative="0">
      <w:start w:val="1"/>
      <w:numFmt w:val="chineseCounting"/>
      <w:suff w:val="nothing"/>
      <w:lvlText w:val="%1、"/>
      <w:lvlJc w:val="left"/>
      <w:pPr>
        <w:ind w:left="0" w:firstLine="0"/>
      </w:pPr>
      <w:rPr>
        <w:rFonts w:hint="eastAsia"/>
      </w:rPr>
    </w:lvl>
  </w:abstractNum>
  <w:abstractNum w:abstractNumId="1">
    <w:nsid w:val="12159443"/>
    <w:multiLevelType w:val="singleLevel"/>
    <w:tmpl w:val="12159443"/>
    <w:lvl w:ilvl="0" w:tentative="0">
      <w:start w:val="1"/>
      <w:numFmt w:val="chineseCounting"/>
      <w:suff w:val="nothing"/>
      <w:lvlText w:val="（%1）"/>
      <w:lvlJc w:val="left"/>
      <w:pPr>
        <w:ind w:left="0" w:firstLine="420"/>
      </w:pPr>
      <w:rPr>
        <w:rFonts w:hint="eastAsia"/>
      </w:rPr>
    </w:lvl>
  </w:abstractNum>
  <w:abstractNum w:abstractNumId="2">
    <w:nsid w:val="253D5902"/>
    <w:multiLevelType w:val="singleLevel"/>
    <w:tmpl w:val="253D5902"/>
    <w:lvl w:ilvl="0" w:tentative="0">
      <w:start w:val="1"/>
      <w:numFmt w:val="chineseCounting"/>
      <w:suff w:val="nothing"/>
      <w:lvlText w:val="（%1）"/>
      <w:lvlJc w:val="left"/>
      <w:pPr>
        <w:ind w:left="0" w:firstLine="420"/>
      </w:pPr>
      <w:rPr>
        <w:rFonts w:hint="eastAsia"/>
      </w:rPr>
    </w:lvl>
  </w:abstractNum>
  <w:abstractNum w:abstractNumId="3">
    <w:nsid w:val="78BD1C8F"/>
    <w:multiLevelType w:val="singleLevel"/>
    <w:tmpl w:val="78BD1C8F"/>
    <w:lvl w:ilvl="0" w:tentative="0">
      <w:start w:val="1"/>
      <w:numFmt w:val="decimal"/>
      <w:suff w:val="nothing"/>
      <w:lvlText w:val="%1、"/>
      <w:lvlJc w:val="left"/>
      <w:pPr>
        <w:ind w:left="-73" w:firstLine="283"/>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1171"/>
    <w:rsid w:val="00463FFF"/>
    <w:rsid w:val="00F61C24"/>
    <w:rsid w:val="0186240D"/>
    <w:rsid w:val="01C335AB"/>
    <w:rsid w:val="02DA783B"/>
    <w:rsid w:val="033D1ADE"/>
    <w:rsid w:val="038F0263"/>
    <w:rsid w:val="03970EF3"/>
    <w:rsid w:val="04587CAC"/>
    <w:rsid w:val="050E3F58"/>
    <w:rsid w:val="056A4671"/>
    <w:rsid w:val="06025AE9"/>
    <w:rsid w:val="065B747D"/>
    <w:rsid w:val="066C1D60"/>
    <w:rsid w:val="07187830"/>
    <w:rsid w:val="07403663"/>
    <w:rsid w:val="077A4051"/>
    <w:rsid w:val="07DB29DD"/>
    <w:rsid w:val="08410597"/>
    <w:rsid w:val="085262B3"/>
    <w:rsid w:val="0854278F"/>
    <w:rsid w:val="085801BC"/>
    <w:rsid w:val="08FD674C"/>
    <w:rsid w:val="09090FDF"/>
    <w:rsid w:val="096C2283"/>
    <w:rsid w:val="09847929"/>
    <w:rsid w:val="09CC13A3"/>
    <w:rsid w:val="0A2921C0"/>
    <w:rsid w:val="0A370A52"/>
    <w:rsid w:val="0A5D34B6"/>
    <w:rsid w:val="0B285DDC"/>
    <w:rsid w:val="0B875DF5"/>
    <w:rsid w:val="0BD613F8"/>
    <w:rsid w:val="0BE84B95"/>
    <w:rsid w:val="0C485EB3"/>
    <w:rsid w:val="0C4B6E38"/>
    <w:rsid w:val="0C5010C1"/>
    <w:rsid w:val="0CAF10DB"/>
    <w:rsid w:val="0CBC03F1"/>
    <w:rsid w:val="0CBC3C74"/>
    <w:rsid w:val="0D1158FC"/>
    <w:rsid w:val="0D12337E"/>
    <w:rsid w:val="0DDE7CAC"/>
    <w:rsid w:val="0E6379BA"/>
    <w:rsid w:val="0EB25028"/>
    <w:rsid w:val="0EC17841"/>
    <w:rsid w:val="0F725446"/>
    <w:rsid w:val="0F906C15"/>
    <w:rsid w:val="0F9D3D2C"/>
    <w:rsid w:val="104D064D"/>
    <w:rsid w:val="106D346F"/>
    <w:rsid w:val="10C07307"/>
    <w:rsid w:val="10D80231"/>
    <w:rsid w:val="10F70AE6"/>
    <w:rsid w:val="11443CF9"/>
    <w:rsid w:val="117C54BB"/>
    <w:rsid w:val="11F10CFD"/>
    <w:rsid w:val="125C25AB"/>
    <w:rsid w:val="127647DA"/>
    <w:rsid w:val="12A74FA9"/>
    <w:rsid w:val="13095F47"/>
    <w:rsid w:val="13247DF6"/>
    <w:rsid w:val="137220F3"/>
    <w:rsid w:val="147D38AA"/>
    <w:rsid w:val="15756040"/>
    <w:rsid w:val="15C52948"/>
    <w:rsid w:val="16563130"/>
    <w:rsid w:val="16A40CB1"/>
    <w:rsid w:val="16E00B16"/>
    <w:rsid w:val="16E54F9E"/>
    <w:rsid w:val="16FB4F43"/>
    <w:rsid w:val="1745083A"/>
    <w:rsid w:val="17895AAB"/>
    <w:rsid w:val="17BF2702"/>
    <w:rsid w:val="17DF51B5"/>
    <w:rsid w:val="17E106B9"/>
    <w:rsid w:val="18307D24"/>
    <w:rsid w:val="184738E0"/>
    <w:rsid w:val="18496DE3"/>
    <w:rsid w:val="19137AFC"/>
    <w:rsid w:val="19237DCB"/>
    <w:rsid w:val="199D433D"/>
    <w:rsid w:val="1A8E28A0"/>
    <w:rsid w:val="1A9853AE"/>
    <w:rsid w:val="1C480A0F"/>
    <w:rsid w:val="1D5D13BA"/>
    <w:rsid w:val="1DC24961"/>
    <w:rsid w:val="1E3958A5"/>
    <w:rsid w:val="1E594C92"/>
    <w:rsid w:val="1E873426"/>
    <w:rsid w:val="1EE47F3C"/>
    <w:rsid w:val="1F003FE9"/>
    <w:rsid w:val="1F1135EF"/>
    <w:rsid w:val="1F225822"/>
    <w:rsid w:val="1F5100D2"/>
    <w:rsid w:val="1FB13E0C"/>
    <w:rsid w:val="1FD552C6"/>
    <w:rsid w:val="1FE93F66"/>
    <w:rsid w:val="202D3756"/>
    <w:rsid w:val="20672C08"/>
    <w:rsid w:val="206F54C4"/>
    <w:rsid w:val="208F7F77"/>
    <w:rsid w:val="209A6308"/>
    <w:rsid w:val="215D18CA"/>
    <w:rsid w:val="21CF4187"/>
    <w:rsid w:val="22261312"/>
    <w:rsid w:val="223E28E5"/>
    <w:rsid w:val="22A10C5C"/>
    <w:rsid w:val="22FC5CFC"/>
    <w:rsid w:val="231837DC"/>
    <w:rsid w:val="23B96AFD"/>
    <w:rsid w:val="23D47D54"/>
    <w:rsid w:val="23DE3EE7"/>
    <w:rsid w:val="244415F8"/>
    <w:rsid w:val="24994E82"/>
    <w:rsid w:val="24C10D89"/>
    <w:rsid w:val="25143F64"/>
    <w:rsid w:val="25721007"/>
    <w:rsid w:val="25997A40"/>
    <w:rsid w:val="26222E1C"/>
    <w:rsid w:val="262C11AD"/>
    <w:rsid w:val="263F494B"/>
    <w:rsid w:val="26893EB8"/>
    <w:rsid w:val="268E7F4D"/>
    <w:rsid w:val="26E563DD"/>
    <w:rsid w:val="26F27C71"/>
    <w:rsid w:val="273E00BA"/>
    <w:rsid w:val="276756B2"/>
    <w:rsid w:val="276976AC"/>
    <w:rsid w:val="27D327E3"/>
    <w:rsid w:val="28343B01"/>
    <w:rsid w:val="2886390B"/>
    <w:rsid w:val="289C222B"/>
    <w:rsid w:val="296E0005"/>
    <w:rsid w:val="297A3E18"/>
    <w:rsid w:val="2A031B7E"/>
    <w:rsid w:val="2A9B7773"/>
    <w:rsid w:val="2AF35C03"/>
    <w:rsid w:val="2BD177EF"/>
    <w:rsid w:val="2D4A4E5E"/>
    <w:rsid w:val="2D60377E"/>
    <w:rsid w:val="2DE801DF"/>
    <w:rsid w:val="2EFF0A6A"/>
    <w:rsid w:val="2F336D01"/>
    <w:rsid w:val="2F627B2D"/>
    <w:rsid w:val="2F7B2B74"/>
    <w:rsid w:val="2FCE6D7B"/>
    <w:rsid w:val="301C6E7A"/>
    <w:rsid w:val="306772F9"/>
    <w:rsid w:val="3084259E"/>
    <w:rsid w:val="30E61DC6"/>
    <w:rsid w:val="30E77847"/>
    <w:rsid w:val="30E91417"/>
    <w:rsid w:val="315A7B86"/>
    <w:rsid w:val="316E3F8E"/>
    <w:rsid w:val="31C04FAC"/>
    <w:rsid w:val="32291158"/>
    <w:rsid w:val="322F3062"/>
    <w:rsid w:val="32911338"/>
    <w:rsid w:val="32932D86"/>
    <w:rsid w:val="32CE76E8"/>
    <w:rsid w:val="32E95D13"/>
    <w:rsid w:val="32EC6C98"/>
    <w:rsid w:val="32F727D8"/>
    <w:rsid w:val="32FA5FAE"/>
    <w:rsid w:val="336359DD"/>
    <w:rsid w:val="33B92B69"/>
    <w:rsid w:val="33F829BD"/>
    <w:rsid w:val="3424001A"/>
    <w:rsid w:val="34880D89"/>
    <w:rsid w:val="3523213B"/>
    <w:rsid w:val="35397235"/>
    <w:rsid w:val="357D1550"/>
    <w:rsid w:val="359978AF"/>
    <w:rsid w:val="35B900B0"/>
    <w:rsid w:val="35C00993"/>
    <w:rsid w:val="35E11274"/>
    <w:rsid w:val="36262999"/>
    <w:rsid w:val="363022FA"/>
    <w:rsid w:val="36AB6174"/>
    <w:rsid w:val="36CB4A75"/>
    <w:rsid w:val="37471E40"/>
    <w:rsid w:val="375A77DC"/>
    <w:rsid w:val="37746974"/>
    <w:rsid w:val="379D72C6"/>
    <w:rsid w:val="385C6845"/>
    <w:rsid w:val="387A56B5"/>
    <w:rsid w:val="3888024E"/>
    <w:rsid w:val="394D16E2"/>
    <w:rsid w:val="399C288D"/>
    <w:rsid w:val="39EB2094"/>
    <w:rsid w:val="3A9E1B37"/>
    <w:rsid w:val="3BD10C2F"/>
    <w:rsid w:val="3BD16A31"/>
    <w:rsid w:val="3C75753F"/>
    <w:rsid w:val="3D5123A5"/>
    <w:rsid w:val="3D99601D"/>
    <w:rsid w:val="3DA13429"/>
    <w:rsid w:val="3E4864CC"/>
    <w:rsid w:val="3E5C3B5C"/>
    <w:rsid w:val="3E737005"/>
    <w:rsid w:val="3E7B660F"/>
    <w:rsid w:val="3ED413BD"/>
    <w:rsid w:val="3EFA5728"/>
    <w:rsid w:val="3F2435A5"/>
    <w:rsid w:val="3F453ADA"/>
    <w:rsid w:val="3FCC2AB9"/>
    <w:rsid w:val="40ED2B91"/>
    <w:rsid w:val="41756E95"/>
    <w:rsid w:val="41F06F3B"/>
    <w:rsid w:val="41F768C6"/>
    <w:rsid w:val="421019EE"/>
    <w:rsid w:val="423441AD"/>
    <w:rsid w:val="424B1CFA"/>
    <w:rsid w:val="438163CD"/>
    <w:rsid w:val="43BF1735"/>
    <w:rsid w:val="43CA4243"/>
    <w:rsid w:val="441668C0"/>
    <w:rsid w:val="44555D78"/>
    <w:rsid w:val="446E7FA6"/>
    <w:rsid w:val="44790B63"/>
    <w:rsid w:val="459B5498"/>
    <w:rsid w:val="462640A2"/>
    <w:rsid w:val="46367BC0"/>
    <w:rsid w:val="467A3B2C"/>
    <w:rsid w:val="468C2B19"/>
    <w:rsid w:val="46FA3181"/>
    <w:rsid w:val="471548BC"/>
    <w:rsid w:val="47554342"/>
    <w:rsid w:val="4799729B"/>
    <w:rsid w:val="47AA1CA0"/>
    <w:rsid w:val="47C96CD1"/>
    <w:rsid w:val="480623B9"/>
    <w:rsid w:val="48162654"/>
    <w:rsid w:val="486636D8"/>
    <w:rsid w:val="487B1EBE"/>
    <w:rsid w:val="48EE48B5"/>
    <w:rsid w:val="48FD384B"/>
    <w:rsid w:val="4984282A"/>
    <w:rsid w:val="498A2923"/>
    <w:rsid w:val="4A221718"/>
    <w:rsid w:val="4A2D77C0"/>
    <w:rsid w:val="4A7C4FC1"/>
    <w:rsid w:val="4A9762B2"/>
    <w:rsid w:val="4ADB3322"/>
    <w:rsid w:val="4B3D66E8"/>
    <w:rsid w:val="4BC32B39"/>
    <w:rsid w:val="4C13635C"/>
    <w:rsid w:val="4CA5340D"/>
    <w:rsid w:val="4DB22585"/>
    <w:rsid w:val="4DB60F8B"/>
    <w:rsid w:val="4E462DF8"/>
    <w:rsid w:val="4E6E0739"/>
    <w:rsid w:val="4ED41763"/>
    <w:rsid w:val="4F1C53DA"/>
    <w:rsid w:val="4F383685"/>
    <w:rsid w:val="4FAA26BF"/>
    <w:rsid w:val="50716C05"/>
    <w:rsid w:val="50781E13"/>
    <w:rsid w:val="508D6535"/>
    <w:rsid w:val="51480E67"/>
    <w:rsid w:val="51972060"/>
    <w:rsid w:val="520F53AD"/>
    <w:rsid w:val="52711BCE"/>
    <w:rsid w:val="53CD3DC9"/>
    <w:rsid w:val="53E369F2"/>
    <w:rsid w:val="54D648BB"/>
    <w:rsid w:val="55A15289"/>
    <w:rsid w:val="55EA6982"/>
    <w:rsid w:val="5665084A"/>
    <w:rsid w:val="5688130B"/>
    <w:rsid w:val="57282FE5"/>
    <w:rsid w:val="57A56C58"/>
    <w:rsid w:val="57A80C13"/>
    <w:rsid w:val="57B85C78"/>
    <w:rsid w:val="5813728B"/>
    <w:rsid w:val="585C6786"/>
    <w:rsid w:val="59B30F36"/>
    <w:rsid w:val="59C26B25"/>
    <w:rsid w:val="5A743572"/>
    <w:rsid w:val="5AD81D33"/>
    <w:rsid w:val="5B2A30A1"/>
    <w:rsid w:val="5B4A22D1"/>
    <w:rsid w:val="5B6B57D8"/>
    <w:rsid w:val="5BD112B1"/>
    <w:rsid w:val="5C784F41"/>
    <w:rsid w:val="5C93136F"/>
    <w:rsid w:val="5CCD01DC"/>
    <w:rsid w:val="5D2C5CEA"/>
    <w:rsid w:val="5D967917"/>
    <w:rsid w:val="5D975530"/>
    <w:rsid w:val="5E0943D3"/>
    <w:rsid w:val="5E6437E8"/>
    <w:rsid w:val="5EC21603"/>
    <w:rsid w:val="5FF7323F"/>
    <w:rsid w:val="60DB1C73"/>
    <w:rsid w:val="61407419"/>
    <w:rsid w:val="61CF1286"/>
    <w:rsid w:val="62B114E5"/>
    <w:rsid w:val="62DF3642"/>
    <w:rsid w:val="6332564A"/>
    <w:rsid w:val="63A4489A"/>
    <w:rsid w:val="63F27C87"/>
    <w:rsid w:val="6429647B"/>
    <w:rsid w:val="646F0BAF"/>
    <w:rsid w:val="648B7BB6"/>
    <w:rsid w:val="64C3035F"/>
    <w:rsid w:val="64EE6C25"/>
    <w:rsid w:val="65294DFC"/>
    <w:rsid w:val="6537031E"/>
    <w:rsid w:val="659F31C5"/>
    <w:rsid w:val="66682C0E"/>
    <w:rsid w:val="6671351E"/>
    <w:rsid w:val="66BE361D"/>
    <w:rsid w:val="66D35B41"/>
    <w:rsid w:val="66DB514B"/>
    <w:rsid w:val="67205C40"/>
    <w:rsid w:val="67223341"/>
    <w:rsid w:val="67C30FBF"/>
    <w:rsid w:val="68026233"/>
    <w:rsid w:val="68273FF7"/>
    <w:rsid w:val="68294213"/>
    <w:rsid w:val="696E6789"/>
    <w:rsid w:val="6A4164B3"/>
    <w:rsid w:val="6B2547D6"/>
    <w:rsid w:val="6B663041"/>
    <w:rsid w:val="6BBB5499"/>
    <w:rsid w:val="6C135CD7"/>
    <w:rsid w:val="6C2F5A12"/>
    <w:rsid w:val="6D9013CC"/>
    <w:rsid w:val="6D9248D0"/>
    <w:rsid w:val="6DC143CC"/>
    <w:rsid w:val="6DD134BB"/>
    <w:rsid w:val="6F352D82"/>
    <w:rsid w:val="6F6F4651"/>
    <w:rsid w:val="701B0935"/>
    <w:rsid w:val="70F75033"/>
    <w:rsid w:val="710032F2"/>
    <w:rsid w:val="71040980"/>
    <w:rsid w:val="7117455A"/>
    <w:rsid w:val="711F0324"/>
    <w:rsid w:val="714040DC"/>
    <w:rsid w:val="719018DC"/>
    <w:rsid w:val="721D16A7"/>
    <w:rsid w:val="724F0A16"/>
    <w:rsid w:val="726760BC"/>
    <w:rsid w:val="72D850F7"/>
    <w:rsid w:val="73E26C2E"/>
    <w:rsid w:val="744B4216"/>
    <w:rsid w:val="749F4A62"/>
    <w:rsid w:val="754F031B"/>
    <w:rsid w:val="7621662A"/>
    <w:rsid w:val="76431543"/>
    <w:rsid w:val="765A4D38"/>
    <w:rsid w:val="77070BFC"/>
    <w:rsid w:val="7717096F"/>
    <w:rsid w:val="772D7A86"/>
    <w:rsid w:val="774F6912"/>
    <w:rsid w:val="77796166"/>
    <w:rsid w:val="77974740"/>
    <w:rsid w:val="77E635C6"/>
    <w:rsid w:val="77F160D3"/>
    <w:rsid w:val="77F54AD9"/>
    <w:rsid w:val="782530AA"/>
    <w:rsid w:val="78522228"/>
    <w:rsid w:val="7885744E"/>
    <w:rsid w:val="799A0B31"/>
    <w:rsid w:val="79F80A27"/>
    <w:rsid w:val="79FF3C35"/>
    <w:rsid w:val="7A190D04"/>
    <w:rsid w:val="7A4024A0"/>
    <w:rsid w:val="7A430EA6"/>
    <w:rsid w:val="7A931F2A"/>
    <w:rsid w:val="7AA9664C"/>
    <w:rsid w:val="7B04546D"/>
    <w:rsid w:val="7B1227F8"/>
    <w:rsid w:val="7B93624A"/>
    <w:rsid w:val="7BC4481A"/>
    <w:rsid w:val="7BDE10E2"/>
    <w:rsid w:val="7CBE24B4"/>
    <w:rsid w:val="7D8469FA"/>
    <w:rsid w:val="7DC7631B"/>
    <w:rsid w:val="7DFD301D"/>
    <w:rsid w:val="7F3818C3"/>
    <w:rsid w:val="7F7B10B3"/>
    <w:rsid w:val="7F937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01"/>
    <w:basedOn w:val="6"/>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2014</Words>
  <Characters>2134</Characters>
  <Lines>0</Lines>
  <Paragraphs>0</Paragraphs>
  <TotalTime>11</TotalTime>
  <ScaleCrop>false</ScaleCrop>
  <LinksUpToDate>false</LinksUpToDate>
  <CharactersWithSpaces>2155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2025-07-08T03:10:00Z</dcterms:created>
  <dc:creator>s'y'n</dc:creator>
  <cp:lastModifiedBy>寿燕妮</cp:lastModifiedBy>
  <dcterms:modified xsi:type="dcterms:W3CDTF">2026-10-29T01:52:55Z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eyJoZGlkIjoiZDRkNGMyNjM1YjljYTY4NGMyMWYwNDM3MTk1ZTdiODAiLCJ1c2VySWQiOiIxNjE3NDMzNjM1In0=</vt:lpwstr>
  </property>
  <property fmtid="{D5CDD505-2E9C-101B-9397-08002B2CF9AE}" pid="4" name="ICV">
    <vt:lpwstr>68C4D43E964148CA98A26E413B78722C</vt:lpwstr>
  </property>
</Properties>
</file>