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天添向上2号</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color w:val="auto"/>
          <w:u w:val="none"/>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天添向上2号</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2026-10-01起至2026-10-21止。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225"/>
        <w:gridCol w:w="1650"/>
        <w:gridCol w:w="4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黑体" w:hAnsi="黑体" w:eastAsia="黑体" w:cs="黑体"/>
                <w:color w:val="000000"/>
                <w:sz w:val="18"/>
              </w:rPr>
              <w:t>QT02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黑体" w:hAnsi="黑体" w:eastAsia="黑体" w:cs="黑体"/>
                <w:color w:val="000000"/>
                <w:sz w:val="18"/>
              </w:rPr>
              <w:t>天添向上2号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694"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黑体" w:hAnsi="黑体" w:eastAsia="黑体" w:cs="黑体"/>
                <w:color w:val="000000"/>
                <w:sz w:val="18"/>
              </w:rPr>
              <w:t>C1092918000191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69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黑体" w:hAnsi="黑体" w:eastAsia="黑体" w:cs="黑体"/>
                <w:color w:val="000000"/>
                <w:sz w:val="18"/>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69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黑体" w:hAnsi="黑体" w:eastAsia="黑体" w:cs="黑体"/>
                <w:color w:val="000000"/>
                <w:sz w:val="18"/>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69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黑体" w:hAnsi="黑体" w:eastAsia="黑体" w:cs="黑体"/>
                <w:color w:val="000000"/>
                <w:sz w:val="18"/>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694"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color w:val="000000"/>
                <w:sz w:val="22"/>
                <w:lang w:val="en-US" w:eastAsia="zh-CN"/>
              </w:rPr>
              <w:t>1</w:t>
            </w:r>
            <w:r>
              <w:rPr>
                <w:rFonts w:ascii="宋体" w:hAnsi="宋体" w:eastAsia="宋体" w:cs="宋体"/>
                <w:color w:val="000000"/>
                <w:sz w:val="22"/>
              </w:rPr>
              <w:t>.00%</w:t>
            </w:r>
            <w:r>
              <w:rPr>
                <w:rFonts w:hint="eastAsia" w:ascii="宋体" w:hAnsi="宋体" w:eastAsia="宋体" w:cs="宋体"/>
                <w:color w:val="000000"/>
                <w:sz w:val="22"/>
                <w:lang w:val="en-US"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694" w:type="pct"/>
            <w:gridSpan w:val="2"/>
            <w:tcBorders>
              <w:tl2br w:val="nil"/>
              <w:tr2bl w:val="nil"/>
            </w:tcBorders>
            <w:shd w:val="clear" w:color="auto" w:fill="auto"/>
            <w:noWrap/>
            <w:vAlign w:val="center"/>
          </w:tcPr>
          <w:p>
            <w:pPr>
              <w:rPr>
                <w:rFonts w:hint="eastAsia" w:ascii="宋体" w:hAnsi="宋体" w:eastAsia="宋体" w:cs="宋体"/>
                <w:color w:val="000000"/>
                <w:sz w:val="22"/>
              </w:rPr>
            </w:pPr>
            <w:r>
              <w:rPr>
                <w:rFonts w:hint="eastAsia" w:ascii="宋体" w:hAnsi="宋体" w:eastAsia="宋体" w:cs="宋体"/>
                <w:color w:val="000000"/>
                <w:sz w:val="22"/>
              </w:rPr>
              <w:t>本产品属性为固定收益类产品，投资于固定收益类资产不低于80%，主要投资于债券与存款类资产。管理人将综合评估宏观经济环境，根据市场情况灵活调配资产配置比例，综合运用资产配置策略、骑乘策略、息差策略、久期策略及流动性管控手段。业绩比较基准参考本产品发行时已知的利率水平，根据当前市场利率水平、组合目标久期、可投资债券的静态收益率、杠杆操作等因素作为测算依据，扣除相关税费等成本后，综合得出本理财产品的业绩比较基准区间。</w:t>
            </w:r>
          </w:p>
          <w:p>
            <w:pP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color w:val="000000"/>
                <w:sz w:val="22"/>
              </w:rPr>
              <w:t>该业绩比较基准不构成浙江泰隆商业银行对该理财产品的任何收益承诺。浙江泰隆商业银行作为产品管理人，将根据市场利率变动及资金运作情况不定期调整业绩比较基准，并至少于新业绩比较基准生效前2个工作日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1071148682.18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694"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w:t>
            </w:r>
            <w:r>
              <w:rPr>
                <w:rFonts w:hint="eastAsia" w:ascii="宋体" w:hAnsi="宋体" w:eastAsia="宋体" w:cs="宋体"/>
                <w:i w:val="0"/>
                <w:iCs w:val="0"/>
                <w:color w:val="000000"/>
                <w:sz w:val="22"/>
                <w:szCs w:val="22"/>
                <w:u w:val="none"/>
                <w:lang w:val="en-US" w:eastAsia="zh-CN"/>
              </w:rPr>
              <w:t>2</w:t>
            </w:r>
            <w:r>
              <w:rPr>
                <w:rFonts w:hint="eastAsia" w:ascii="宋体" w:hAnsi="宋体" w:eastAsia="宋体" w:cs="宋体"/>
                <w:i w:val="0"/>
                <w:iCs w:val="0"/>
                <w:color w:val="000000"/>
                <w:sz w:val="22"/>
                <w:szCs w:val="22"/>
                <w:u w:val="none"/>
              </w:rPr>
              <w:t>.</w:t>
            </w:r>
            <w:r>
              <w:rPr>
                <w:rFonts w:hint="eastAsia" w:ascii="宋体" w:hAnsi="宋体" w:eastAsia="宋体" w:cs="宋体"/>
                <w:i w:val="0"/>
                <w:iCs w:val="0"/>
                <w:color w:val="000000"/>
                <w:sz w:val="22"/>
                <w:szCs w:val="22"/>
                <w:u w:val="none"/>
                <w:lang w:val="en-US" w:eastAsia="zh-CN"/>
              </w:rPr>
              <w:t>55</w:t>
            </w:r>
            <w:r>
              <w:rPr>
                <w:rFonts w:hint="eastAsia" w:ascii="宋体" w:hAnsi="宋体" w:eastAsia="宋体" w:cs="宋体"/>
                <w:i w:val="0"/>
                <w:iCs w:val="0"/>
                <w:color w:val="000000"/>
                <w:sz w:val="22"/>
                <w:szCs w:val="22"/>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2018-08-30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69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694"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lang w:val="en-US" w:eastAsia="zh-CN"/>
              </w:rPr>
            </w:pPr>
            <w:r>
              <w:rPr>
                <w:rFonts w:ascii="宋体" w:hAnsi="宋体" w:eastAsia="宋体" w:cs="宋体"/>
                <w:color w:val="000000"/>
                <w:sz w:val="22"/>
              </w:rPr>
              <w:t>2026-10-2</w:t>
            </w:r>
            <w:r>
              <w:rPr>
                <w:rFonts w:hint="eastAsia" w:ascii="宋体" w:hAnsi="宋体" w:eastAsia="宋体" w:cs="宋体"/>
                <w:color w:val="000000"/>
                <w:sz w:val="22"/>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694"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694"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05"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726"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浙江泰隆商业银行股份有限公司天添向上2号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05"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726"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3301040160010688060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05"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6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726"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杭州银行股份有限公司营业部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1071148682.18元，产品份额净值为 1.09932817元，产品份额累计净值为1.22750574元。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1.0806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1.3335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近六月(2026-04-24至2026-10-21)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1.522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近一年(2025-10-22至2026-10-21)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1.6655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成立以来(2018-08-30至2026-10-21)</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2.7912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1.8592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2.4324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2023年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2.5171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2022年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2.7212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2021年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2.9751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2020年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3.1937</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2026-10-21。理财产品的过往业绩由管理人计算提供，过往业绩不代表其未来表现，不等于理财产品实际收益，投资须谨慎。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1"/>
        <w:gridCol w:w="1386"/>
        <w:gridCol w:w="1203"/>
        <w:gridCol w:w="1387"/>
        <w:gridCol w:w="1096"/>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1098515677.94</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1098515677.94</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1,098,515,677.94</w:t>
            </w:r>
          </w:p>
          <w:p>
            <w:pPr>
              <w:bidi w:val="0"/>
              <w:jc w:val="center"/>
              <w:rPr>
                <w:rFonts w:hint="eastAsia" w:asciiTheme="minorHAnsi" w:hAnsiTheme="minorHAnsi" w:eastAsiaTheme="minorEastAsia" w:cstheme="minorBidi"/>
                <w:kern w:val="2"/>
                <w:sz w:val="21"/>
                <w:szCs w:val="24"/>
                <w:lang w:val="en-US" w:eastAsia="zh-CN" w:bidi="ar-SA"/>
              </w:rPr>
            </w:pP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1,098,515,677.94</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1,098,515,677.94</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20"/>
                <w:szCs w:val="20"/>
                <w:lang w:val="en-US" w:eastAsia="zh-CN"/>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20"/>
                <w:szCs w:val="20"/>
                <w:lang w:val="en-US" w:eastAsia="zh-CN"/>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20"/>
                <w:szCs w:val="20"/>
                <w:lang w:val="en-US" w:eastAsia="zh-CN"/>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1,098,515,677.94</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1,098,515,677.94</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965,245.21</w:t>
            </w:r>
            <w:bookmarkStart w:id="0" w:name="_GoBack"/>
            <w:bookmarkEnd w:id="0"/>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974,366,632.07</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96,782,050.11</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1,071,148,682.18</w:t>
            </w:r>
          </w:p>
        </w:tc>
      </w:tr>
      <w:tr>
        <w:tblPrEx>
          <w:tblCellMar>
            <w:top w:w="0" w:type="dxa"/>
            <w:left w:w="108" w:type="dxa"/>
            <w:bottom w:w="0" w:type="dxa"/>
            <w:right w:w="108" w:type="dxa"/>
          </w:tblCellMar>
        </w:tblPrEx>
        <w:trPr>
          <w:trHeight w:val="112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73272"/>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822F35"/>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134BF4"/>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27</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2026-10-28T09:20:01Z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