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jc w:val="left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>附件3</w:t>
      </w:r>
    </w:p>
    <w:p>
      <w:pPr>
        <w:spacing w:line="60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浙江泰隆商业银行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  <w:t>电子银行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业务收费标准（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eastAsia="zh-CN"/>
        </w:rPr>
        <w:t>202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eastAsia="zh-CN"/>
        </w:rPr>
        <w:t>年修订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）</w:t>
      </w:r>
    </w:p>
    <w:p>
      <w:pPr>
        <w:wordWrap/>
        <w:jc w:val="left"/>
        <w:rPr>
          <w:rFonts w:hint="default" w:ascii="仿宋_GB2312" w:eastAsia="仿宋_GB2312"/>
          <w:sz w:val="28"/>
          <w:szCs w:val="28"/>
          <w:highlight w:val="none"/>
          <w:lang w:val="en-US" w:eastAsia="zh-CN"/>
        </w:rPr>
      </w:pPr>
    </w:p>
    <w:tbl>
      <w:tblPr>
        <w:tblStyle w:val="2"/>
        <w:tblW w:w="109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1"/>
        <w:gridCol w:w="3374"/>
        <w:gridCol w:w="1846"/>
        <w:gridCol w:w="2184"/>
        <w:gridCol w:w="1668"/>
        <w:gridCol w:w="1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7" w:hRule="atLeast"/>
          <w:jc w:val="center"/>
        </w:trPr>
        <w:tc>
          <w:tcPr>
            <w:tcW w:w="75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337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  <w:t>服务项目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  <w:t>服务价格标准</w:t>
            </w:r>
          </w:p>
        </w:tc>
        <w:tc>
          <w:tcPr>
            <w:tcW w:w="218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  <w:lang w:bidi="ar"/>
              </w:rPr>
              <w:t>服务内容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  <w:lang w:bidi="ar"/>
              </w:rPr>
              <w:t>优惠政策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1" w:hRule="atLeast"/>
          <w:jc w:val="center"/>
        </w:trPr>
        <w:tc>
          <w:tcPr>
            <w:tcW w:w="75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337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USB KEY工本费（每户前2枚免费）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正常收费标准：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30元/枚</w:t>
            </w:r>
          </w:p>
        </w:tc>
        <w:tc>
          <w:tcPr>
            <w:tcW w:w="218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一种电子银行安全认证介质，用于客户身份认证及交易安全。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每户前2枚免费</w:t>
            </w:r>
          </w:p>
        </w:tc>
        <w:tc>
          <w:tcPr>
            <w:tcW w:w="1152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适用全行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1" w:hRule="atLeast"/>
          <w:jc w:val="center"/>
        </w:trPr>
        <w:tc>
          <w:tcPr>
            <w:tcW w:w="75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337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银企直联开通费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标准版：8万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定制版：根据实际情况评估后收取</w:t>
            </w:r>
          </w:p>
        </w:tc>
        <w:tc>
          <w:tcPr>
            <w:tcW w:w="218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开通银企直联功能，提供接口开发支持、测试投产、验证等服务，一次性收取的费用。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支持协议定价</w:t>
            </w:r>
          </w:p>
        </w:tc>
        <w:tc>
          <w:tcPr>
            <w:tcW w:w="115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  <w:jc w:val="center"/>
        </w:trPr>
        <w:tc>
          <w:tcPr>
            <w:tcW w:w="75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337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银企直联服务年费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正常收费标准：200元/年</w:t>
            </w:r>
          </w:p>
        </w:tc>
        <w:tc>
          <w:tcPr>
            <w:tcW w:w="218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银企直联功能日常运营维护、系统优化等费用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开通时间超过半年（含）的按标准收取，不足半年的按半价收取。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支持协议定价</w:t>
            </w:r>
          </w:p>
        </w:tc>
        <w:tc>
          <w:tcPr>
            <w:tcW w:w="115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1" w:hRule="atLeast"/>
          <w:jc w:val="center"/>
        </w:trPr>
        <w:tc>
          <w:tcPr>
            <w:tcW w:w="75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337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银企直联个性化服务费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根据实际情况评估后收取</w:t>
            </w:r>
          </w:p>
        </w:tc>
        <w:tc>
          <w:tcPr>
            <w:tcW w:w="218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个性化需求、业务培训、技术支持（含加密设备、专线接入）等费用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支持协议定价</w:t>
            </w:r>
          </w:p>
        </w:tc>
        <w:tc>
          <w:tcPr>
            <w:tcW w:w="115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1" w:hRule="atLeast"/>
          <w:jc w:val="center"/>
        </w:trPr>
        <w:tc>
          <w:tcPr>
            <w:tcW w:w="751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3374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对公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eastAsia="zh-CN" w:bidi="ar"/>
              </w:rPr>
              <w:t>电子银行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服务费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50元/月/注册账户</w:t>
            </w:r>
          </w:p>
        </w:tc>
        <w:tc>
          <w:tcPr>
            <w:tcW w:w="2184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为客户提供企业在线余额和明细查询、银企对账服务等金融服务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（一）免收费优惠标准：</w:t>
            </w:r>
          </w:p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1.存量账户(指开立日在2025年3月1日之前的对公账户）：月日均存款余额达到人民币5,000元（含）以上；</w:t>
            </w:r>
          </w:p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2.新增账户（指开立日在2025年3月1日（含）之后的对公账户）：月日均存款余额达到人民币30,000元（含）以上。</w:t>
            </w:r>
          </w:p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（二）免收费优惠有效期：</w:t>
            </w:r>
          </w:p>
          <w:p>
            <w:pPr>
              <w:spacing w:line="240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2025年3月1日至2028年2月28日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上海分行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1" w:hRule="atLeast"/>
          <w:jc w:val="center"/>
        </w:trPr>
        <w:tc>
          <w:tcPr>
            <w:tcW w:w="751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3374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50元/月/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eastAsia="zh-CN" w:bidi="ar"/>
              </w:rPr>
              <w:t>注册账户</w:t>
            </w:r>
          </w:p>
        </w:tc>
        <w:tc>
          <w:tcPr>
            <w:tcW w:w="2184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66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eastAsia="zh-CN" w:bidi="ar"/>
              </w:rPr>
              <w:t>优质及以上客户免费</w:t>
            </w:r>
          </w:p>
          <w:p>
            <w:pPr>
              <w:spacing w:line="240" w:lineRule="auto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eastAsia="zh-CN" w:bidi="ar"/>
              </w:rPr>
              <w:t>所有收费客户在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 w:bidi="ar"/>
              </w:rPr>
              <w:t>2024年9月30日前五折优惠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宁波分行、湖州分行、舟山分行、丽水分行、金华分行义乌区域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1" w:hRule="atLeast"/>
          <w:jc w:val="center"/>
        </w:trPr>
        <w:tc>
          <w:tcPr>
            <w:tcW w:w="751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3374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eastAsia="zh-CN" w:bidi="ar"/>
              </w:rPr>
              <w:t>免费</w:t>
            </w:r>
          </w:p>
        </w:tc>
        <w:tc>
          <w:tcPr>
            <w:tcW w:w="2184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66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eastAsia="zh-CN" w:bidi="ar"/>
              </w:rPr>
              <w:t>免费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台州分行、嘉兴分行、杭州分行、温州分行、绍兴分行、苏州分行、衢州分行、金华分行除义乌区域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1" w:hRule="atLeast"/>
          <w:jc w:val="center"/>
        </w:trPr>
        <w:tc>
          <w:tcPr>
            <w:tcW w:w="75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337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泰惠收商户收单通道费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正常收费标准：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1、线下商户：标准费率为不超过每笔交易收款金额的0.6%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2、线上商户：标准费率为不超过每笔收款金额的1%</w:t>
            </w:r>
          </w:p>
        </w:tc>
        <w:tc>
          <w:tcPr>
            <w:tcW w:w="2184" w:type="dxa"/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为收单商户提供收款通道服务费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具体单个商户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优惠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费率以各分行费率政策及活动为准</w:t>
            </w:r>
          </w:p>
        </w:tc>
        <w:tc>
          <w:tcPr>
            <w:tcW w:w="1152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适用全行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90" w:hRule="atLeast"/>
          <w:jc w:val="center"/>
        </w:trPr>
        <w:tc>
          <w:tcPr>
            <w:tcW w:w="75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Cs w:val="21"/>
                <w:highlight w:val="none"/>
                <w:lang w:val="en-US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337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相关收钱工具物料费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  <w:p>
            <w:pPr>
              <w:widowControl/>
              <w:spacing w:line="240" w:lineRule="auto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不超过6000元/份</w:t>
            </w:r>
          </w:p>
          <w:p>
            <w:pPr>
              <w:widowControl/>
              <w:spacing w:line="240" w:lineRule="auto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218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为收单商户提供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收银相关的各项物料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（收款码、云音响、小票打印机、收银机、刷脸设备等）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及服务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具体单个商户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优惠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费率及物料收费以各分行费率政策及活动为准</w:t>
            </w:r>
          </w:p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15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6" w:hRule="atLeast"/>
          <w:jc w:val="center"/>
        </w:trPr>
        <w:tc>
          <w:tcPr>
            <w:tcW w:w="75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337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泰惠收商户提现服务手续费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按照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不超过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提现交易金额的</w:t>
            </w: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万分之八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收取，最低</w:t>
            </w: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0.1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元</w:t>
            </w: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笔</w:t>
            </w:r>
          </w:p>
        </w:tc>
        <w:tc>
          <w:tcPr>
            <w:tcW w:w="2184" w:type="dxa"/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为收单商户提供提现服务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泰惠收提现服务手续费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优惠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以各分行具体服务费率政策为准</w:t>
            </w:r>
          </w:p>
        </w:tc>
        <w:tc>
          <w:tcPr>
            <w:tcW w:w="1152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6" w:hRule="atLeast"/>
          <w:jc w:val="center"/>
        </w:trPr>
        <w:tc>
          <w:tcPr>
            <w:tcW w:w="75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337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e账簿提现手续费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5万（含）以下：最高1元/笔</w:t>
            </w:r>
          </w:p>
          <w:p>
            <w:pPr>
              <w:widowControl/>
              <w:spacing w:line="240" w:lineRule="auto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5万以上：最高5元/笔</w:t>
            </w:r>
          </w:p>
        </w:tc>
        <w:tc>
          <w:tcPr>
            <w:tcW w:w="2184" w:type="dxa"/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e账簿客户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e账簿用户通过泰隆开放银行合作平台将e账簿资金划转至绑定银行账户所收取的费用</w:t>
            </w:r>
          </w:p>
        </w:tc>
        <w:tc>
          <w:tcPr>
            <w:tcW w:w="1152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6" w:hRule="atLeast"/>
          <w:jc w:val="center"/>
        </w:trPr>
        <w:tc>
          <w:tcPr>
            <w:tcW w:w="75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Cs w:val="21"/>
                <w:highlight w:val="none"/>
                <w:lang w:val="en-US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337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开放银行对接服务费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按协议定价收取</w:t>
            </w:r>
          </w:p>
        </w:tc>
        <w:tc>
          <w:tcPr>
            <w:tcW w:w="2184" w:type="dxa"/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为合作平台提供开放银行业务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接口开发支持、测试投产、验证等服务，一次性收取的费用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支持协议定价</w:t>
            </w:r>
          </w:p>
        </w:tc>
        <w:tc>
          <w:tcPr>
            <w:tcW w:w="1152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</w:tbl>
    <w:p>
      <w:pPr>
        <w:widowControl/>
        <w:spacing w:line="240" w:lineRule="auto"/>
        <w:jc w:val="left"/>
        <w:textAlignment w:val="center"/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</w:pPr>
    </w:p>
    <w:p>
      <w:pPr>
        <w:widowControl/>
        <w:spacing w:line="240" w:lineRule="auto"/>
        <w:jc w:val="left"/>
        <w:textAlignment w:val="center"/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  <w:t>注：</w:t>
      </w:r>
    </w:p>
    <w:p>
      <w:pPr>
        <w:widowControl/>
        <w:spacing w:line="240" w:lineRule="auto"/>
        <w:jc w:val="left"/>
        <w:textAlignment w:val="center"/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 w:bidi="ar"/>
        </w:rPr>
        <w:t>电子银行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 w:bidi="ar"/>
        </w:rPr>
        <w:t>业务根据《商业银行服务价格管理办法》，实行市场调节价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  <w:t>。</w:t>
      </w:r>
    </w:p>
    <w:p>
      <w:pPr>
        <w:widowControl/>
        <w:spacing w:line="240" w:lineRule="auto"/>
        <w:jc w:val="left"/>
        <w:textAlignment w:val="center"/>
        <w:rPr>
          <w:rFonts w:hint="eastAsia" w:ascii="宋体" w:hAnsi="宋体" w:cs="Calibri"/>
          <w:color w:val="auto"/>
          <w:highlight w:val="none"/>
          <w:lang w:val="en-US" w:eastAsia="zh-CN"/>
        </w:rPr>
      </w:pPr>
      <w:r>
        <w:rPr>
          <w:rFonts w:hint="eastAsia" w:ascii="宋体" w:hAnsi="宋体" w:cs="Calibri"/>
          <w:color w:val="auto"/>
          <w:highlight w:val="none"/>
          <w:lang w:eastAsia="zh-CN"/>
        </w:rPr>
        <w:t>本价目表自</w:t>
      </w:r>
      <w:r>
        <w:rPr>
          <w:rFonts w:hint="eastAsia" w:ascii="宋体" w:hAnsi="宋体" w:cs="Calibri"/>
          <w:color w:val="auto"/>
          <w:highlight w:val="none"/>
          <w:lang w:val="en-US" w:eastAsia="zh-CN"/>
        </w:rPr>
        <w:t>2023年11月2日执行，我行另有说明的除外。</w:t>
      </w:r>
    </w:p>
    <w:p>
      <w:pPr>
        <w:widowControl/>
        <w:spacing w:line="240" w:lineRule="auto"/>
        <w:jc w:val="left"/>
        <w:textAlignment w:val="center"/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</w:pPr>
      <w:r>
        <w:rPr>
          <w:rFonts w:hint="eastAsia" w:ascii="宋体" w:hAnsi="宋体" w:cs="Calibri"/>
          <w:color w:val="auto"/>
          <w:highlight w:val="none"/>
          <w:lang w:val="en-US" w:eastAsia="zh-CN"/>
        </w:rPr>
        <w:t xml:space="preserve">本价目表优惠政策（如未特殊注明），有效期为长期，若期间涉及调整，我行将另行公告。 </w:t>
      </w:r>
    </w:p>
    <w:p>
      <w:pPr>
        <w:spacing w:line="240" w:lineRule="auto"/>
        <w:rPr>
          <w:rFonts w:hint="default" w:ascii="宋体" w:hAnsi="宋体" w:cs="Calibri"/>
          <w:color w:val="auto"/>
          <w:highlight w:val="none"/>
          <w:lang w:val="en-US" w:eastAsia="zh-CN"/>
        </w:rPr>
      </w:pPr>
      <w:r>
        <w:rPr>
          <w:rFonts w:hint="eastAsia" w:ascii="宋体" w:hAnsi="宋体" w:cs="Calibri"/>
          <w:color w:val="auto"/>
          <w:highlight w:val="none"/>
          <w:lang w:eastAsia="zh-CN"/>
        </w:rPr>
        <w:t>咨询电话：</w:t>
      </w:r>
      <w:r>
        <w:rPr>
          <w:rFonts w:hint="eastAsia" w:ascii="宋体" w:hAnsi="宋体" w:cs="Calibri"/>
          <w:color w:val="auto"/>
          <w:highlight w:val="none"/>
          <w:lang w:val="en-US" w:eastAsia="zh-CN"/>
        </w:rPr>
        <w:t>95347</w:t>
      </w:r>
    </w:p>
    <w:p>
      <w:pPr>
        <w:widowControl/>
        <w:spacing w:line="240" w:lineRule="auto"/>
        <w:jc w:val="left"/>
        <w:textAlignment w:val="center"/>
        <w:rPr>
          <w:rFonts w:hint="eastAsia" w:ascii="宋体" w:hAnsi="宋体" w:cs="Calibri"/>
          <w:color w:val="auto"/>
          <w:highlight w:val="none"/>
          <w:lang w:val="en-US" w:eastAsia="zh-CN"/>
        </w:rPr>
      </w:pPr>
      <w:r>
        <w:rPr>
          <w:rFonts w:hint="eastAsia" w:ascii="宋体" w:hAnsi="宋体" w:cs="Calibri"/>
          <w:color w:val="auto"/>
          <w:highlight w:val="none"/>
          <w:lang w:eastAsia="zh-CN"/>
        </w:rPr>
        <w:t>价格投诉电话：</w:t>
      </w:r>
      <w:r>
        <w:rPr>
          <w:rFonts w:hint="eastAsia" w:ascii="宋体" w:hAnsi="宋体" w:cs="Calibri"/>
          <w:color w:val="auto"/>
          <w:highlight w:val="none"/>
          <w:lang w:val="en-US" w:eastAsia="zh-CN"/>
        </w:rPr>
        <w:t>12315、12358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69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2026-05-14T06:16:17Z</dcterms:created>
  <dc:creator>006719</dc:creator>
  <cp:lastModifiedBy>沈俊杰</cp:lastModifiedBy>
  <dcterms:modified xsi:type="dcterms:W3CDTF">2026-05-14T06:16:46Z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2052-11.8.2.12334</vt:lpwstr>
  </property>
  <property fmtid="{D5CDD505-2E9C-101B-9397-08002B2CF9AE}" pid="3" name="ICV">
    <vt:lpwstr>A7017FE9696B41E483C32B244B186946</vt:lpwstr>
  </property>
</Properties>
</file>