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08E53">
      <w:pPr>
        <w:spacing w:line="276" w:lineRule="auto"/>
        <w:rPr>
          <w:rFonts w:ascii="Times New Roman" w:hAnsi="Times New Roman"/>
          <w:b/>
          <w:sz w:val="32"/>
          <w:szCs w:val="32"/>
        </w:rPr>
      </w:pPr>
    </w:p>
    <w:p w14:paraId="511D6B76">
      <w:pPr>
        <w:spacing w:line="276" w:lineRule="auto"/>
        <w:jc w:val="center"/>
        <w:rPr>
          <w:rFonts w:ascii="Times New Roman" w:hAnsi="Times New Roman"/>
          <w:b/>
          <w:sz w:val="32"/>
          <w:szCs w:val="32"/>
        </w:rPr>
      </w:pPr>
      <w:r>
        <w:rPr>
          <w:rFonts w:hint="eastAsia" w:ascii="Times New Roman" w:hAnsi="Times New Roman"/>
          <w:b/>
          <w:sz w:val="32"/>
          <w:szCs w:val="32"/>
        </w:rPr>
        <w:t>渝农商理财有限责任公司</w:t>
      </w:r>
    </w:p>
    <w:p w14:paraId="04058653">
      <w:pPr>
        <w:spacing w:line="276" w:lineRule="auto"/>
        <w:jc w:val="center"/>
        <w:rPr>
          <w:rFonts w:ascii="Times New Roman" w:hAnsi="Times New Roman"/>
          <w:b/>
          <w:sz w:val="32"/>
          <w:szCs w:val="32"/>
        </w:rPr>
      </w:pPr>
      <w:r>
        <w:rPr>
          <w:rFonts w:hint="eastAsia" w:ascii="Times New Roman" w:hAnsi="Times New Roman"/>
          <w:b/>
          <w:sz w:val="32"/>
          <w:szCs w:val="32"/>
        </w:rPr>
        <w:t>渝农商理财渝盈宝天添向上6号</w:t>
      </w:r>
    </w:p>
    <w:p w14:paraId="3F964547">
      <w:pPr>
        <w:spacing w:line="276" w:lineRule="auto"/>
        <w:jc w:val="center"/>
        <w:rPr>
          <w:rFonts w:ascii="Times New Roman" w:hAnsi="Times New Roman"/>
          <w:b/>
          <w:sz w:val="32"/>
          <w:szCs w:val="32"/>
        </w:rPr>
      </w:pPr>
      <w:r>
        <w:rPr>
          <w:rFonts w:hint="eastAsia" w:ascii="Times New Roman" w:hAnsi="Times New Roman"/>
          <w:b/>
          <w:sz w:val="32"/>
          <w:szCs w:val="32"/>
        </w:rPr>
        <w:t>理财产品说明书</w:t>
      </w:r>
    </w:p>
    <w:p w14:paraId="2B568914">
      <w:pPr>
        <w:tabs>
          <w:tab w:val="center" w:pos="4434"/>
        </w:tabs>
        <w:spacing w:line="276" w:lineRule="auto"/>
        <w:jc w:val="center"/>
        <w:rPr>
          <w:rFonts w:ascii="Times New Roman" w:hAnsi="Times New Roman"/>
          <w:b/>
          <w:bCs/>
          <w:sz w:val="28"/>
          <w:szCs w:val="28"/>
        </w:rPr>
      </w:pPr>
      <w:r>
        <w:rPr>
          <w:rFonts w:hint="eastAsia" w:ascii="Times New Roman" w:hAnsi="Times New Roman"/>
          <w:b/>
          <w:bCs/>
          <w:sz w:val="28"/>
          <w:szCs w:val="28"/>
        </w:rPr>
        <w:t>（</w:t>
      </w:r>
      <w:r>
        <w:rPr>
          <w:rFonts w:hint="eastAsia" w:ascii="Times New Roman" w:hAnsi="Times New Roman"/>
          <w:b/>
          <w:sz w:val="32"/>
          <w:szCs w:val="32"/>
        </w:rPr>
        <w:t>22GSGK12006</w:t>
      </w:r>
      <w:r>
        <w:rPr>
          <w:rFonts w:hint="eastAsia" w:ascii="Times New Roman" w:hAnsi="Times New Roman"/>
          <w:b/>
          <w:bCs/>
          <w:sz w:val="28"/>
          <w:szCs w:val="28"/>
        </w:rPr>
        <w:t>）</w:t>
      </w:r>
    </w:p>
    <w:p w14:paraId="4E84A118">
      <w:pPr>
        <w:spacing w:line="276" w:lineRule="auto"/>
        <w:jc w:val="center"/>
        <w:rPr>
          <w:rFonts w:ascii="Times New Roman" w:hAnsi="Times New Roman"/>
          <w:b/>
        </w:rPr>
      </w:pPr>
    </w:p>
    <w:p w14:paraId="6AF30F24">
      <w:pPr>
        <w:adjustRightInd w:val="0"/>
        <w:snapToGrid w:val="0"/>
        <w:spacing w:line="300" w:lineRule="auto"/>
        <w:rPr>
          <w:rFonts w:ascii="Times New Roman" w:hAnsi="Times New Roman" w:cs="Arial"/>
          <w:b/>
          <w:szCs w:val="21"/>
        </w:rPr>
      </w:pPr>
      <w:bookmarkStart w:id="0" w:name="_Hlk38470305"/>
      <w:r>
        <w:rPr>
          <w:rFonts w:hint="eastAsia" w:ascii="Times New Roman" w:hAnsi="Times New Roman" w:cs="Arial"/>
          <w:b/>
          <w:szCs w:val="21"/>
        </w:rPr>
        <w:t>重要提示：</w:t>
      </w:r>
    </w:p>
    <w:p w14:paraId="45397B2D">
      <w:pPr>
        <w:pStyle w:val="29"/>
        <w:tabs>
          <w:tab w:val="left" w:pos="420"/>
        </w:tabs>
        <w:adjustRightInd w:val="0"/>
        <w:snapToGrid w:val="0"/>
        <w:spacing w:line="300" w:lineRule="auto"/>
        <w:ind w:firstLine="0" w:firstLineChars="0"/>
        <w:jc w:val="left"/>
        <w:rPr>
          <w:rFonts w:ascii="Times New Roman" w:hAnsi="Times New Roman"/>
          <w:b/>
          <w:szCs w:val="21"/>
        </w:rPr>
      </w:pPr>
      <w:r>
        <w:rPr>
          <w:rFonts w:hint="eastAsia" w:ascii="Times New Roman" w:hAnsi="Times New Roman"/>
          <w:b/>
          <w:szCs w:val="21"/>
        </w:rPr>
        <w:t>一、本《理财产品说明书》与《理财产品投资协议书》、《销售（代理销售）协议书》、《风险揭示书》、《投资者权益须知》共同构成完整的不可分割的理财产品销售文件，具有同等的法律效力；</w:t>
      </w:r>
    </w:p>
    <w:p w14:paraId="3152E55F">
      <w:pPr>
        <w:tabs>
          <w:tab w:val="left" w:pos="420"/>
        </w:tabs>
        <w:adjustRightInd w:val="0"/>
        <w:snapToGrid w:val="0"/>
        <w:spacing w:line="300" w:lineRule="auto"/>
        <w:jc w:val="left"/>
        <w:rPr>
          <w:rFonts w:ascii="Times New Roman" w:hAnsi="Times New Roman"/>
          <w:b/>
          <w:szCs w:val="21"/>
        </w:rPr>
      </w:pPr>
      <w:r>
        <w:rPr>
          <w:rFonts w:hint="eastAsia" w:ascii="Times New Roman" w:hAnsi="Times New Roman"/>
          <w:b/>
          <w:szCs w:val="21"/>
        </w:rPr>
        <w:t>二、本产品是由渝农商理财有限责任公司自主设计、投资与运作的理财产品；</w:t>
      </w:r>
    </w:p>
    <w:p w14:paraId="77BA6140">
      <w:pPr>
        <w:tabs>
          <w:tab w:val="left" w:pos="420"/>
        </w:tabs>
        <w:adjustRightInd w:val="0"/>
        <w:snapToGrid w:val="0"/>
        <w:spacing w:line="300" w:lineRule="auto"/>
        <w:jc w:val="left"/>
        <w:rPr>
          <w:rFonts w:ascii="Times New Roman" w:hAnsi="Times New Roman"/>
          <w:b/>
          <w:szCs w:val="21"/>
        </w:rPr>
      </w:pPr>
      <w:r>
        <w:rPr>
          <w:rFonts w:hint="eastAsia" w:ascii="Times New Roman" w:hAnsi="Times New Roman"/>
          <w:b/>
          <w:szCs w:val="21"/>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651EBB75">
      <w:pPr>
        <w:tabs>
          <w:tab w:val="left" w:pos="420"/>
        </w:tabs>
        <w:adjustRightInd w:val="0"/>
        <w:snapToGrid w:val="0"/>
        <w:spacing w:line="300" w:lineRule="auto"/>
        <w:jc w:val="left"/>
        <w:rPr>
          <w:rFonts w:ascii="Times New Roman" w:hAnsi="Times New Roman"/>
          <w:b/>
          <w:szCs w:val="21"/>
        </w:rPr>
      </w:pPr>
      <w:r>
        <w:rPr>
          <w:rFonts w:hint="eastAsia" w:ascii="Times New Roman" w:hAnsi="Times New Roman"/>
          <w:b/>
          <w:szCs w:val="21"/>
        </w:rPr>
        <w:t>四、本理财产品不保证一定盈利，也不保证最低收益和本金安全。理财产品过往业绩不代表其未来表现，不等于理财产品实际收益，投资须谨慎。</w:t>
      </w:r>
    </w:p>
    <w:p w14:paraId="62BCA711">
      <w:pPr>
        <w:adjustRightInd w:val="0"/>
        <w:snapToGrid w:val="0"/>
        <w:spacing w:line="300" w:lineRule="auto"/>
        <w:jc w:val="left"/>
        <w:rPr>
          <w:rFonts w:ascii="Times New Roman" w:hAnsi="Times New Roman" w:cs="宋体"/>
          <w:b/>
          <w:szCs w:val="21"/>
        </w:rPr>
      </w:pPr>
      <w:r>
        <w:rPr>
          <w:rFonts w:hint="eastAsia" w:ascii="Times New Roman" w:hAnsi="Times New Roman"/>
          <w:b/>
          <w:szCs w:val="21"/>
        </w:rPr>
        <w:t>五、</w:t>
      </w:r>
      <w:r>
        <w:rPr>
          <w:rFonts w:hint="eastAsia" w:ascii="Times New Roman" w:hAnsi="Times New Roman" w:cs="宋体"/>
          <w:b/>
          <w:szCs w:val="21"/>
        </w:rPr>
        <w:t>在购买理财产品后，投资者应随时关注该理财产品的信息披露情况，及时获取相关信息。</w:t>
      </w:r>
    </w:p>
    <w:p w14:paraId="6E2528B0">
      <w:pPr>
        <w:spacing w:line="276" w:lineRule="auto"/>
        <w:ind w:left="361" w:leftChars="172"/>
        <w:jc w:val="left"/>
        <w:rPr>
          <w:rFonts w:ascii="Times New Roman" w:hAnsi="Times New Roman" w:cs="宋体"/>
          <w:b/>
          <w:szCs w:val="21"/>
        </w:rPr>
      </w:pPr>
    </w:p>
    <w:p w14:paraId="0C0A54CB">
      <w:pPr>
        <w:adjustRightInd w:val="0"/>
        <w:snapToGrid w:val="0"/>
        <w:spacing w:line="300" w:lineRule="auto"/>
        <w:jc w:val="left"/>
        <w:rPr>
          <w:rFonts w:ascii="宋体" w:hAnsi="宋体" w:cs="宋体"/>
          <w:bCs/>
          <w:szCs w:val="21"/>
        </w:rPr>
      </w:pPr>
      <w:bookmarkStart w:id="1" w:name="_Hlk152860916"/>
      <w:r>
        <w:rPr>
          <w:rFonts w:hint="eastAsia" w:ascii="宋体" w:hAnsi="宋体" w:cs="宋体"/>
          <w:bCs/>
          <w:szCs w:val="21"/>
        </w:rPr>
        <w:t>定义：</w:t>
      </w:r>
    </w:p>
    <w:p w14:paraId="54764651">
      <w:pPr>
        <w:adjustRightInd w:val="0"/>
        <w:snapToGrid w:val="0"/>
        <w:spacing w:line="300" w:lineRule="auto"/>
        <w:jc w:val="left"/>
        <w:rPr>
          <w:rFonts w:ascii="宋体" w:hAnsi="宋体"/>
          <w:szCs w:val="21"/>
        </w:rPr>
      </w:pPr>
      <w:bookmarkStart w:id="2" w:name="_Hlk152850442"/>
      <w:r>
        <w:rPr>
          <w:rFonts w:hint="eastAsia" w:ascii="宋体" w:hAnsi="宋体"/>
          <w:szCs w:val="21"/>
        </w:rPr>
        <w:t>在本《理财产品说明书》中，除非上下文另有明确约定，下列用词将具有如下含义：</w:t>
      </w:r>
    </w:p>
    <w:p w14:paraId="0B7042BD">
      <w:pPr>
        <w:pStyle w:val="53"/>
        <w:numPr>
          <w:ilvl w:val="0"/>
          <w:numId w:val="1"/>
        </w:numPr>
        <w:autoSpaceDE w:val="0"/>
        <w:autoSpaceDN w:val="0"/>
        <w:adjustRightInd w:val="0"/>
        <w:snapToGrid w:val="0"/>
        <w:spacing w:line="300" w:lineRule="auto"/>
        <w:ind w:left="0" w:firstLine="0" w:firstLineChars="0"/>
        <w:rPr>
          <w:rFonts w:ascii="宋体" w:hAnsi="宋体"/>
          <w:szCs w:val="21"/>
        </w:rPr>
      </w:pPr>
      <w:r>
        <w:rPr>
          <w:rFonts w:hint="eastAsia" w:ascii="宋体" w:hAnsi="宋体" w:cs="宋体"/>
          <w:b/>
          <w:bCs/>
          <w:color w:val="000000"/>
          <w:kern w:val="0"/>
          <w:szCs w:val="21"/>
        </w:rPr>
        <w:t>渝农商理财</w:t>
      </w:r>
      <w:r>
        <w:rPr>
          <w:rFonts w:ascii="宋体" w:hAnsi="宋体" w:cs="宋体"/>
          <w:b/>
          <w:bCs/>
          <w:color w:val="000000"/>
          <w:kern w:val="0"/>
          <w:szCs w:val="21"/>
        </w:rPr>
        <w:t>/</w:t>
      </w:r>
      <w:r>
        <w:rPr>
          <w:rFonts w:hint="eastAsia" w:ascii="宋体" w:hAnsi="宋体" w:cs="宋体"/>
          <w:b/>
          <w:bCs/>
          <w:color w:val="000000"/>
          <w:kern w:val="0"/>
          <w:szCs w:val="21"/>
        </w:rPr>
        <w:t>产品管理人/管理人：</w:t>
      </w:r>
      <w:r>
        <w:rPr>
          <w:rFonts w:hint="eastAsia" w:ascii="宋体" w:hAnsi="宋体"/>
          <w:szCs w:val="21"/>
        </w:rPr>
        <w:t>指渝农商理财有限责任公司，官方网站为（</w:t>
      </w:r>
      <w:r>
        <w:rPr>
          <w:rFonts w:ascii="宋体" w:hAnsi="宋体"/>
          <w:szCs w:val="21"/>
        </w:rPr>
        <w:t>wm.cqrcb.com</w:t>
      </w:r>
      <w:r>
        <w:rPr>
          <w:rFonts w:hint="eastAsia" w:ascii="宋体" w:hAnsi="宋体"/>
          <w:szCs w:val="21"/>
        </w:rPr>
        <w:t>）。</w:t>
      </w:r>
    </w:p>
    <w:p w14:paraId="32A86B91">
      <w:pPr>
        <w:pStyle w:val="53"/>
        <w:numPr>
          <w:ilvl w:val="0"/>
          <w:numId w:val="1"/>
        </w:numPr>
        <w:autoSpaceDE w:val="0"/>
        <w:autoSpaceDN w:val="0"/>
        <w:adjustRightInd w:val="0"/>
        <w:snapToGrid w:val="0"/>
        <w:spacing w:line="300" w:lineRule="auto"/>
        <w:ind w:left="0" w:firstLine="0" w:firstLineChars="0"/>
        <w:jc w:val="left"/>
        <w:rPr>
          <w:rFonts w:ascii="宋体" w:hAnsi="宋体"/>
          <w:szCs w:val="21"/>
        </w:rPr>
      </w:pPr>
      <w:r>
        <w:rPr>
          <w:rFonts w:hint="eastAsia" w:ascii="宋体" w:hAnsi="宋体"/>
          <w:b/>
          <w:bCs/>
          <w:kern w:val="0"/>
          <w:szCs w:val="21"/>
        </w:rPr>
        <w:t>理财产品份额：</w:t>
      </w:r>
      <w:r>
        <w:rPr>
          <w:rFonts w:hint="eastAsia" w:ascii="宋体" w:hAnsi="宋体"/>
          <w:szCs w:val="21"/>
        </w:rPr>
        <w:t>指投资者持有本理财产品的单位数额。投资者基于其所持有的理财产品单位数额享有理财产品利益、承担理财产品风险。</w:t>
      </w:r>
    </w:p>
    <w:p w14:paraId="2311CF22">
      <w:pPr>
        <w:pStyle w:val="53"/>
        <w:numPr>
          <w:ilvl w:val="0"/>
          <w:numId w:val="1"/>
        </w:numPr>
        <w:autoSpaceDE w:val="0"/>
        <w:autoSpaceDN w:val="0"/>
        <w:adjustRightInd w:val="0"/>
        <w:snapToGrid w:val="0"/>
        <w:spacing w:line="300" w:lineRule="auto"/>
        <w:ind w:left="0" w:firstLine="0" w:firstLineChars="0"/>
        <w:rPr>
          <w:rFonts w:ascii="宋体" w:hAnsi="宋体"/>
          <w:szCs w:val="21"/>
        </w:rPr>
      </w:pPr>
      <w:r>
        <w:rPr>
          <w:rFonts w:hint="eastAsia" w:ascii="宋体" w:hAnsi="宋体"/>
          <w:b/>
          <w:bCs/>
          <w:szCs w:val="21"/>
        </w:rPr>
        <w:t>认购：</w:t>
      </w:r>
      <w:r>
        <w:rPr>
          <w:rFonts w:hint="eastAsia" w:ascii="宋体" w:hAnsi="宋体"/>
          <w:szCs w:val="21"/>
        </w:rPr>
        <w:t>指在理财产品的募集期内申请购买理财产品份额的行为。</w:t>
      </w:r>
    </w:p>
    <w:p w14:paraId="5244988C">
      <w:pPr>
        <w:pStyle w:val="53"/>
        <w:numPr>
          <w:ilvl w:val="0"/>
          <w:numId w:val="1"/>
        </w:numPr>
        <w:autoSpaceDE w:val="0"/>
        <w:autoSpaceDN w:val="0"/>
        <w:adjustRightInd w:val="0"/>
        <w:snapToGrid w:val="0"/>
        <w:spacing w:line="300" w:lineRule="auto"/>
        <w:ind w:left="0" w:firstLine="0" w:firstLineChars="0"/>
        <w:rPr>
          <w:rFonts w:ascii="宋体" w:hAnsi="宋体"/>
          <w:bCs/>
          <w:szCs w:val="21"/>
        </w:rPr>
      </w:pPr>
      <w:r>
        <w:rPr>
          <w:rFonts w:hint="eastAsia" w:ascii="宋体" w:hAnsi="宋体"/>
          <w:b/>
          <w:bCs/>
          <w:szCs w:val="21"/>
        </w:rPr>
        <w:t>申购：</w:t>
      </w:r>
      <w:r>
        <w:rPr>
          <w:rFonts w:hint="eastAsia" w:ascii="宋体" w:hAnsi="宋体"/>
          <w:bCs/>
          <w:szCs w:val="21"/>
        </w:rPr>
        <w:t>指投资者在理财产品的开放期内申请购买</w:t>
      </w:r>
      <w:r>
        <w:rPr>
          <w:rFonts w:hint="eastAsia" w:ascii="宋体" w:hAnsi="宋体"/>
          <w:szCs w:val="21"/>
        </w:rPr>
        <w:t>理财产品份额的行为</w:t>
      </w:r>
      <w:r>
        <w:rPr>
          <w:rFonts w:hint="eastAsia" w:ascii="宋体" w:hAnsi="宋体"/>
          <w:bCs/>
          <w:szCs w:val="21"/>
        </w:rPr>
        <w:t>。</w:t>
      </w:r>
    </w:p>
    <w:p w14:paraId="68AD815C">
      <w:pPr>
        <w:pStyle w:val="53"/>
        <w:numPr>
          <w:ilvl w:val="0"/>
          <w:numId w:val="1"/>
        </w:numPr>
        <w:autoSpaceDE w:val="0"/>
        <w:autoSpaceDN w:val="0"/>
        <w:adjustRightInd w:val="0"/>
        <w:snapToGrid w:val="0"/>
        <w:spacing w:line="300" w:lineRule="auto"/>
        <w:ind w:left="0" w:firstLine="0" w:firstLineChars="0"/>
        <w:rPr>
          <w:rFonts w:ascii="宋体" w:hAnsi="宋体"/>
          <w:szCs w:val="21"/>
        </w:rPr>
      </w:pPr>
      <w:r>
        <w:rPr>
          <w:rFonts w:hint="eastAsia" w:ascii="宋体" w:hAnsi="宋体"/>
          <w:b/>
          <w:bCs/>
          <w:szCs w:val="21"/>
        </w:rPr>
        <w:t>赎回：</w:t>
      </w:r>
      <w:r>
        <w:rPr>
          <w:rFonts w:hint="eastAsia" w:ascii="宋体" w:hAnsi="宋体"/>
          <w:szCs w:val="21"/>
        </w:rPr>
        <w:t>指投资者在理财产品的开放期内申请卖出部分或全部理财产品份额的行为。</w:t>
      </w:r>
    </w:p>
    <w:p w14:paraId="584AC0EA">
      <w:pPr>
        <w:pStyle w:val="53"/>
        <w:numPr>
          <w:ilvl w:val="0"/>
          <w:numId w:val="1"/>
        </w:numPr>
        <w:autoSpaceDE w:val="0"/>
        <w:autoSpaceDN w:val="0"/>
        <w:adjustRightInd w:val="0"/>
        <w:snapToGrid w:val="0"/>
        <w:spacing w:line="300" w:lineRule="auto"/>
        <w:ind w:left="0" w:firstLine="0" w:firstLineChars="0"/>
        <w:rPr>
          <w:rFonts w:ascii="宋体" w:hAnsi="宋体"/>
          <w:szCs w:val="21"/>
        </w:rPr>
      </w:pPr>
      <w:r>
        <w:rPr>
          <w:rFonts w:hint="eastAsia" w:ascii="宋体" w:hAnsi="宋体"/>
          <w:b/>
          <w:bCs/>
          <w:szCs w:val="21"/>
        </w:rPr>
        <w:t>巨额赎回：</w:t>
      </w:r>
      <w:bookmarkEnd w:id="2"/>
      <w:bookmarkStart w:id="3" w:name="_Hlk152850499"/>
      <w:r>
        <w:rPr>
          <w:rFonts w:hint="eastAsia" w:ascii="宋体" w:hAnsi="宋体"/>
          <w:szCs w:val="21"/>
        </w:rPr>
        <w:t>指理财产品单个开放日净赎回申请（赎回申请份额总数扣除申购申请份额总数）超过前一日终理财产品总份额的</w:t>
      </w:r>
      <w:r>
        <w:rPr>
          <w:rFonts w:ascii="宋体" w:hAnsi="宋体"/>
          <w:szCs w:val="21"/>
        </w:rPr>
        <w:t>10%</w:t>
      </w:r>
      <w:r>
        <w:rPr>
          <w:rFonts w:hint="eastAsia" w:ascii="宋体" w:hAnsi="宋体"/>
          <w:szCs w:val="21"/>
        </w:rPr>
        <w:t>的情形。</w:t>
      </w:r>
    </w:p>
    <w:p w14:paraId="0D0A2F3C">
      <w:pPr>
        <w:pStyle w:val="53"/>
        <w:numPr>
          <w:ilvl w:val="0"/>
          <w:numId w:val="1"/>
        </w:numPr>
        <w:autoSpaceDE w:val="0"/>
        <w:autoSpaceDN w:val="0"/>
        <w:adjustRightInd w:val="0"/>
        <w:snapToGrid w:val="0"/>
        <w:spacing w:line="300" w:lineRule="auto"/>
        <w:ind w:left="181" w:leftChars="86" w:firstLine="0" w:firstLineChars="0"/>
        <w:rPr>
          <w:rFonts w:ascii="宋体" w:hAnsi="宋体"/>
          <w:szCs w:val="21"/>
        </w:rPr>
      </w:pPr>
      <w:r>
        <w:rPr>
          <w:rFonts w:hint="eastAsia" w:ascii="宋体" w:hAnsi="宋体"/>
          <w:b/>
          <w:bCs/>
          <w:kern w:val="0"/>
          <w:szCs w:val="21"/>
        </w:rPr>
        <w:t>募集期（认购期）：</w:t>
      </w:r>
      <w:r>
        <w:rPr>
          <w:rFonts w:hint="eastAsia" w:ascii="宋体" w:hAnsi="宋体"/>
          <w:szCs w:val="21"/>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49E5FBCD">
      <w:pPr>
        <w:pStyle w:val="53"/>
        <w:numPr>
          <w:ilvl w:val="0"/>
          <w:numId w:val="1"/>
        </w:numPr>
        <w:autoSpaceDE w:val="0"/>
        <w:autoSpaceDN w:val="0"/>
        <w:adjustRightInd w:val="0"/>
        <w:snapToGrid w:val="0"/>
        <w:spacing w:line="300" w:lineRule="auto"/>
        <w:ind w:left="0" w:firstLine="0" w:firstLineChars="0"/>
        <w:rPr>
          <w:rFonts w:ascii="宋体" w:hAnsi="宋体"/>
          <w:szCs w:val="21"/>
        </w:rPr>
      </w:pPr>
      <w:r>
        <w:rPr>
          <w:rFonts w:hint="eastAsia" w:ascii="宋体" w:hAnsi="宋体"/>
          <w:b/>
          <w:bCs/>
          <w:kern w:val="0"/>
          <w:szCs w:val="21"/>
        </w:rPr>
        <w:t>产品成立日（认购确认日）</w:t>
      </w:r>
      <w:r>
        <w:rPr>
          <w:rFonts w:hint="eastAsia" w:ascii="宋体" w:hAnsi="宋体"/>
          <w:szCs w:val="21"/>
        </w:rPr>
        <w:t>：指达到本《理财产品说明书》约定的成立条件后，管理人宣布理财产品成立的日期。</w:t>
      </w:r>
    </w:p>
    <w:bookmarkEnd w:id="3"/>
    <w:p w14:paraId="4925D915">
      <w:pPr>
        <w:pStyle w:val="53"/>
        <w:numPr>
          <w:ilvl w:val="0"/>
          <w:numId w:val="1"/>
        </w:numPr>
        <w:autoSpaceDE w:val="0"/>
        <w:autoSpaceDN w:val="0"/>
        <w:adjustRightInd w:val="0"/>
        <w:snapToGrid w:val="0"/>
        <w:spacing w:line="300" w:lineRule="auto"/>
        <w:ind w:left="0" w:firstLine="0" w:firstLineChars="0"/>
        <w:rPr>
          <w:rFonts w:ascii="宋体" w:hAnsi="宋体"/>
          <w:szCs w:val="21"/>
        </w:rPr>
      </w:pPr>
      <w:bookmarkStart w:id="4" w:name="_Hlk152850314"/>
      <w:r>
        <w:rPr>
          <w:rFonts w:hint="eastAsia" w:ascii="宋体" w:hAnsi="宋体" w:cs="宋体"/>
          <w:b/>
          <w:bCs/>
          <w:color w:val="000000"/>
          <w:kern w:val="0"/>
          <w:szCs w:val="21"/>
        </w:rPr>
        <w:t>产品</w:t>
      </w:r>
      <w:r>
        <w:rPr>
          <w:rFonts w:hint="eastAsia" w:ascii="宋体" w:hAnsi="宋体"/>
          <w:b/>
          <w:bCs/>
          <w:szCs w:val="21"/>
        </w:rPr>
        <w:t>到期日</w:t>
      </w:r>
      <w:r>
        <w:rPr>
          <w:rFonts w:ascii="宋体" w:hAnsi="宋体"/>
          <w:b/>
          <w:bCs/>
          <w:szCs w:val="21"/>
        </w:rPr>
        <w:t>/</w:t>
      </w:r>
      <w:r>
        <w:rPr>
          <w:rFonts w:hint="eastAsia" w:ascii="宋体" w:hAnsi="宋体"/>
          <w:b/>
          <w:bCs/>
          <w:szCs w:val="21"/>
        </w:rPr>
        <w:t>终止日</w:t>
      </w:r>
      <w:r>
        <w:rPr>
          <w:rFonts w:hint="eastAsia" w:ascii="宋体" w:hAnsi="宋体"/>
          <w:szCs w:val="21"/>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4"/>
    <w:p w14:paraId="5DEE29EB">
      <w:pPr>
        <w:pStyle w:val="53"/>
        <w:numPr>
          <w:ilvl w:val="0"/>
          <w:numId w:val="1"/>
        </w:numPr>
        <w:autoSpaceDE w:val="0"/>
        <w:autoSpaceDN w:val="0"/>
        <w:adjustRightInd w:val="0"/>
        <w:snapToGrid w:val="0"/>
        <w:spacing w:line="300" w:lineRule="auto"/>
        <w:ind w:left="0" w:firstLine="0" w:firstLineChars="0"/>
        <w:jc w:val="left"/>
        <w:rPr>
          <w:rFonts w:ascii="宋体" w:hAnsi="宋体"/>
          <w:szCs w:val="21"/>
        </w:rPr>
      </w:pPr>
      <w:r>
        <w:rPr>
          <w:rFonts w:hint="eastAsia" w:ascii="宋体" w:hAnsi="宋体" w:cs="宋体"/>
          <w:b/>
          <w:bCs/>
          <w:color w:val="000000"/>
          <w:kern w:val="0"/>
          <w:szCs w:val="21"/>
        </w:rPr>
        <w:t>产品</w:t>
      </w:r>
      <w:r>
        <w:rPr>
          <w:rFonts w:hint="eastAsia" w:ascii="宋体" w:hAnsi="宋体"/>
          <w:b/>
          <w:bCs/>
          <w:szCs w:val="21"/>
        </w:rPr>
        <w:t>存续期</w:t>
      </w:r>
      <w:r>
        <w:rPr>
          <w:rFonts w:ascii="宋体" w:hAnsi="宋体"/>
          <w:b/>
          <w:bCs/>
          <w:szCs w:val="21"/>
        </w:rPr>
        <w:t>/</w:t>
      </w:r>
      <w:r>
        <w:rPr>
          <w:rFonts w:hint="eastAsia" w:ascii="宋体" w:hAnsi="宋体"/>
          <w:b/>
          <w:bCs/>
          <w:szCs w:val="21"/>
        </w:rPr>
        <w:t>存续期：</w:t>
      </w:r>
      <w:r>
        <w:rPr>
          <w:rFonts w:hint="eastAsia" w:ascii="宋体" w:hAnsi="宋体"/>
          <w:szCs w:val="21"/>
        </w:rPr>
        <w:t>指自理财产品成立日起，至理财产品终止日的期间。</w:t>
      </w:r>
    </w:p>
    <w:p w14:paraId="0E07D59B">
      <w:pPr>
        <w:pStyle w:val="53"/>
        <w:numPr>
          <w:ilvl w:val="0"/>
          <w:numId w:val="1"/>
        </w:numPr>
        <w:autoSpaceDE w:val="0"/>
        <w:autoSpaceDN w:val="0"/>
        <w:adjustRightInd w:val="0"/>
        <w:snapToGrid w:val="0"/>
        <w:spacing w:line="300" w:lineRule="auto"/>
        <w:ind w:left="0" w:firstLine="0" w:firstLineChars="0"/>
        <w:jc w:val="left"/>
        <w:rPr>
          <w:rFonts w:ascii="宋体" w:hAnsi="宋体"/>
          <w:szCs w:val="21"/>
        </w:rPr>
      </w:pPr>
      <w:r>
        <w:rPr>
          <w:rFonts w:hint="eastAsia" w:ascii="宋体" w:hAnsi="宋体" w:cs="宋体"/>
          <w:b/>
          <w:bCs/>
          <w:color w:val="000000"/>
          <w:kern w:val="0"/>
          <w:szCs w:val="21"/>
        </w:rPr>
        <w:t>工作日</w:t>
      </w:r>
      <w:r>
        <w:rPr>
          <w:rFonts w:hint="eastAsia" w:ascii="宋体" w:hAnsi="宋体"/>
          <w:b/>
          <w:bCs/>
          <w:szCs w:val="21"/>
        </w:rPr>
        <w:t>：</w:t>
      </w:r>
      <w:r>
        <w:rPr>
          <w:rFonts w:hint="eastAsia" w:ascii="宋体" w:hAnsi="宋体"/>
          <w:szCs w:val="21"/>
        </w:rPr>
        <w:t>指</w:t>
      </w:r>
      <w:r>
        <w:rPr>
          <w:rFonts w:hint="eastAsia" w:ascii="宋体" w:hAnsi="宋体"/>
          <w:bCs/>
          <w:szCs w:val="21"/>
        </w:rPr>
        <w:t>中华人民共和国国家法定工作日</w:t>
      </w:r>
      <w:r>
        <w:rPr>
          <w:rFonts w:hint="eastAsia" w:ascii="宋体" w:hAnsi="宋体"/>
          <w:szCs w:val="21"/>
        </w:rPr>
        <w:t>。</w:t>
      </w:r>
    </w:p>
    <w:p w14:paraId="037AA3A0">
      <w:pPr>
        <w:pStyle w:val="53"/>
        <w:numPr>
          <w:ilvl w:val="0"/>
          <w:numId w:val="1"/>
        </w:numPr>
        <w:autoSpaceDE w:val="0"/>
        <w:autoSpaceDN w:val="0"/>
        <w:adjustRightInd w:val="0"/>
        <w:snapToGrid w:val="0"/>
        <w:spacing w:line="300" w:lineRule="auto"/>
        <w:ind w:left="0" w:firstLine="0" w:firstLineChars="0"/>
        <w:jc w:val="left"/>
        <w:rPr>
          <w:rFonts w:ascii="宋体" w:hAnsi="宋体"/>
          <w:b/>
          <w:bCs/>
          <w:szCs w:val="21"/>
        </w:rPr>
      </w:pPr>
      <w:bookmarkStart w:id="5" w:name="_Hlk152860280"/>
      <w:r>
        <w:rPr>
          <w:rFonts w:hint="eastAsia" w:ascii="宋体" w:hAnsi="宋体"/>
          <w:b/>
          <w:bCs/>
          <w:szCs w:val="21"/>
        </w:rPr>
        <w:t>交易日：指中国大陆证券交易所正常开盘交易日。</w:t>
      </w:r>
      <w:bookmarkEnd w:id="5"/>
    </w:p>
    <w:p w14:paraId="24CFF3A9">
      <w:pPr>
        <w:pStyle w:val="53"/>
        <w:numPr>
          <w:ilvl w:val="0"/>
          <w:numId w:val="1"/>
        </w:numPr>
        <w:autoSpaceDE w:val="0"/>
        <w:autoSpaceDN w:val="0"/>
        <w:adjustRightInd w:val="0"/>
        <w:snapToGrid w:val="0"/>
        <w:spacing w:line="300" w:lineRule="auto"/>
        <w:ind w:left="0" w:firstLine="0" w:firstLineChars="0"/>
        <w:jc w:val="left"/>
        <w:rPr>
          <w:rFonts w:ascii="宋体" w:hAnsi="宋体"/>
          <w:szCs w:val="21"/>
        </w:rPr>
      </w:pPr>
      <w:r>
        <w:rPr>
          <w:rFonts w:hint="eastAsia" w:ascii="宋体" w:hAnsi="宋体"/>
          <w:b/>
          <w:bCs/>
          <w:szCs w:val="21"/>
        </w:rPr>
        <w:t>固定收益类</w:t>
      </w:r>
      <w:r>
        <w:rPr>
          <w:rFonts w:ascii="宋体" w:hAnsi="宋体"/>
          <w:b/>
          <w:bCs/>
          <w:szCs w:val="21"/>
        </w:rPr>
        <w:t>/</w:t>
      </w:r>
      <w:r>
        <w:rPr>
          <w:rFonts w:hint="eastAsia" w:ascii="宋体" w:hAnsi="宋体"/>
          <w:b/>
          <w:bCs/>
          <w:szCs w:val="21"/>
        </w:rPr>
        <w:t>权益类</w:t>
      </w:r>
      <w:r>
        <w:rPr>
          <w:rFonts w:ascii="宋体" w:hAnsi="宋体"/>
          <w:b/>
          <w:bCs/>
          <w:szCs w:val="21"/>
        </w:rPr>
        <w:t>/</w:t>
      </w:r>
      <w:r>
        <w:rPr>
          <w:rFonts w:hint="eastAsia" w:ascii="宋体" w:hAnsi="宋体"/>
          <w:b/>
          <w:bCs/>
          <w:szCs w:val="21"/>
        </w:rPr>
        <w:t>商品及衍生品类/混合类理财产品：</w:t>
      </w:r>
      <w:r>
        <w:rPr>
          <w:rFonts w:hint="eastAsia" w:ascii="宋体" w:hAnsi="宋体"/>
          <w:szCs w:val="21"/>
        </w:rPr>
        <w:t>固定收益类理财产品是指投资于存款、债券等债权类资产的比例不低于</w:t>
      </w:r>
      <w:r>
        <w:rPr>
          <w:rFonts w:ascii="宋体" w:hAnsi="宋体"/>
          <w:szCs w:val="21"/>
        </w:rPr>
        <w:t>80</w:t>
      </w:r>
      <w:r>
        <w:rPr>
          <w:rFonts w:hint="eastAsia" w:ascii="宋体" w:hAnsi="宋体"/>
          <w:szCs w:val="21"/>
        </w:rPr>
        <w:t>％的理财产品，权益类理财产品是指投资于股票等权益类资产的比例不低于</w:t>
      </w:r>
      <w:r>
        <w:rPr>
          <w:rFonts w:ascii="宋体" w:hAnsi="宋体"/>
          <w:szCs w:val="21"/>
        </w:rPr>
        <w:t>80</w:t>
      </w:r>
      <w:r>
        <w:rPr>
          <w:rFonts w:hint="eastAsia" w:ascii="宋体" w:hAnsi="宋体"/>
          <w:szCs w:val="21"/>
        </w:rPr>
        <w:t>％的理财产品，商品及金融衍生品类理财产品是指投资于商品及金融衍生品的比例不低于</w:t>
      </w:r>
      <w:r>
        <w:rPr>
          <w:rFonts w:ascii="宋体" w:hAnsi="宋体"/>
          <w:szCs w:val="21"/>
        </w:rPr>
        <w:t>80</w:t>
      </w:r>
      <w:r>
        <w:rPr>
          <w:rFonts w:hint="eastAsia" w:ascii="宋体" w:hAnsi="宋体"/>
          <w:szCs w:val="21"/>
        </w:rPr>
        <w:t>％的理财产品，混合类理财产品是指投资于债权类资产、权益类资产、商品及金融衍生品类资产且任一资产的投资比例未达到前三类产品标准的理财产品。</w:t>
      </w:r>
    </w:p>
    <w:p w14:paraId="1DCFAE2C">
      <w:pPr>
        <w:pStyle w:val="53"/>
        <w:numPr>
          <w:ilvl w:val="0"/>
          <w:numId w:val="1"/>
        </w:numPr>
        <w:autoSpaceDE w:val="0"/>
        <w:autoSpaceDN w:val="0"/>
        <w:adjustRightInd w:val="0"/>
        <w:snapToGrid w:val="0"/>
        <w:spacing w:line="300" w:lineRule="auto"/>
        <w:ind w:left="181" w:leftChars="86" w:firstLine="0" w:firstLineChars="0"/>
        <w:jc w:val="left"/>
        <w:rPr>
          <w:rFonts w:ascii="宋体" w:hAnsi="宋体"/>
          <w:szCs w:val="21"/>
        </w:rPr>
      </w:pPr>
      <w:r>
        <w:rPr>
          <w:rFonts w:hint="eastAsia" w:ascii="宋体" w:hAnsi="宋体" w:cs="宋体"/>
          <w:b/>
          <w:bCs/>
          <w:color w:val="000000"/>
          <w:kern w:val="0"/>
          <w:szCs w:val="21"/>
        </w:rPr>
        <w:t>公</w:t>
      </w:r>
      <w:r>
        <w:rPr>
          <w:rFonts w:hint="eastAsia" w:ascii="宋体" w:hAnsi="宋体"/>
          <w:b/>
          <w:bCs/>
          <w:szCs w:val="21"/>
        </w:rPr>
        <w:t>募理财产品：</w:t>
      </w:r>
      <w:r>
        <w:rPr>
          <w:rFonts w:hint="eastAsia" w:ascii="宋体" w:hAnsi="宋体"/>
          <w:szCs w:val="21"/>
        </w:rPr>
        <w:t>指面向不特定社会公众公开发行的理财产品。</w:t>
      </w:r>
    </w:p>
    <w:p w14:paraId="00E97B1D">
      <w:pPr>
        <w:pStyle w:val="53"/>
        <w:numPr>
          <w:ilvl w:val="0"/>
          <w:numId w:val="1"/>
        </w:numPr>
        <w:autoSpaceDE w:val="0"/>
        <w:autoSpaceDN w:val="0"/>
        <w:adjustRightInd w:val="0"/>
        <w:snapToGrid w:val="0"/>
        <w:spacing w:line="300" w:lineRule="auto"/>
        <w:ind w:left="181" w:leftChars="86" w:firstLine="0" w:firstLineChars="0"/>
        <w:jc w:val="left"/>
        <w:rPr>
          <w:rFonts w:ascii="宋体" w:hAnsi="宋体"/>
          <w:szCs w:val="21"/>
        </w:rPr>
      </w:pPr>
      <w:r>
        <w:rPr>
          <w:rFonts w:hint="eastAsia" w:ascii="宋体" w:hAnsi="宋体" w:cs="宋体"/>
          <w:b/>
          <w:bCs/>
          <w:color w:val="000000"/>
          <w:kern w:val="0"/>
          <w:szCs w:val="21"/>
        </w:rPr>
        <w:t>私</w:t>
      </w:r>
      <w:r>
        <w:rPr>
          <w:rFonts w:hint="eastAsia" w:ascii="宋体" w:hAnsi="宋体"/>
          <w:b/>
          <w:bCs/>
          <w:szCs w:val="21"/>
        </w:rPr>
        <w:t>募理财产品：</w:t>
      </w:r>
      <w:r>
        <w:rPr>
          <w:rFonts w:hint="eastAsia" w:ascii="宋体" w:hAnsi="宋体"/>
          <w:szCs w:val="21"/>
        </w:rPr>
        <w:t>指面向合格投资者非公开发行的理财产品。</w:t>
      </w:r>
    </w:p>
    <w:p w14:paraId="11628889">
      <w:pPr>
        <w:pStyle w:val="53"/>
        <w:numPr>
          <w:ilvl w:val="0"/>
          <w:numId w:val="1"/>
        </w:numPr>
        <w:autoSpaceDE w:val="0"/>
        <w:autoSpaceDN w:val="0"/>
        <w:adjustRightInd w:val="0"/>
        <w:snapToGrid w:val="0"/>
        <w:spacing w:line="300" w:lineRule="auto"/>
        <w:ind w:left="181" w:leftChars="86" w:firstLine="0" w:firstLineChars="0"/>
        <w:jc w:val="left"/>
        <w:rPr>
          <w:rFonts w:ascii="宋体" w:hAnsi="宋体"/>
          <w:b/>
          <w:bCs/>
          <w:szCs w:val="21"/>
        </w:rPr>
      </w:pPr>
      <w:r>
        <w:rPr>
          <w:rFonts w:hint="eastAsia" w:ascii="宋体" w:hAnsi="宋体"/>
          <w:b/>
          <w:bCs/>
          <w:szCs w:val="21"/>
        </w:rPr>
        <w:t>业绩比较基准：</w:t>
      </w:r>
      <w:r>
        <w:rPr>
          <w:rFonts w:hint="eastAsia" w:ascii="宋体" w:hAnsi="宋体"/>
          <w:szCs w:val="21"/>
        </w:rPr>
        <w:t>指产品管理人基于市场环境、产品性质、投资策略、过往经验等因素对产品设定的投资目标，</w:t>
      </w:r>
      <w:r>
        <w:rPr>
          <w:rFonts w:hint="eastAsia" w:ascii="宋体" w:hAnsi="宋体"/>
          <w:b/>
          <w:bCs/>
          <w:szCs w:val="21"/>
        </w:rPr>
        <w:t>业绩比较基准仅作为参考，不具有法律约束力，不是预期收益率，不代表本产品的未来表现和实际收益，不构成对本产品的任何收益承诺。</w:t>
      </w:r>
    </w:p>
    <w:p w14:paraId="768EA81F">
      <w:pPr>
        <w:pStyle w:val="53"/>
        <w:numPr>
          <w:ilvl w:val="0"/>
          <w:numId w:val="1"/>
        </w:numPr>
        <w:autoSpaceDE w:val="0"/>
        <w:autoSpaceDN w:val="0"/>
        <w:adjustRightInd w:val="0"/>
        <w:snapToGrid w:val="0"/>
        <w:spacing w:line="300" w:lineRule="auto"/>
        <w:ind w:left="181" w:leftChars="86" w:firstLine="0" w:firstLineChars="0"/>
        <w:jc w:val="left"/>
        <w:rPr>
          <w:rFonts w:ascii="宋体" w:hAnsi="宋体"/>
          <w:szCs w:val="21"/>
        </w:rPr>
      </w:pPr>
      <w:r>
        <w:rPr>
          <w:rFonts w:hint="eastAsia" w:ascii="宋体" w:hAnsi="宋体" w:cs="宋体"/>
          <w:b/>
          <w:bCs/>
          <w:color w:val="000000"/>
          <w:kern w:val="0"/>
          <w:szCs w:val="21"/>
        </w:rPr>
        <w:t>流动性</w:t>
      </w:r>
      <w:r>
        <w:rPr>
          <w:rFonts w:hint="eastAsia" w:ascii="宋体" w:hAnsi="宋体"/>
          <w:b/>
          <w:bCs/>
          <w:szCs w:val="21"/>
        </w:rPr>
        <w:t>受限资产：</w:t>
      </w:r>
      <w:r>
        <w:rPr>
          <w:rFonts w:hint="eastAsia" w:ascii="宋体" w:hAnsi="宋体"/>
          <w:szCs w:val="21"/>
        </w:rPr>
        <w:t>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14:paraId="29FC34FA">
      <w:pPr>
        <w:pStyle w:val="53"/>
        <w:numPr>
          <w:ilvl w:val="0"/>
          <w:numId w:val="1"/>
        </w:numPr>
        <w:autoSpaceDE w:val="0"/>
        <w:autoSpaceDN w:val="0"/>
        <w:adjustRightInd w:val="0"/>
        <w:snapToGrid w:val="0"/>
        <w:spacing w:line="300" w:lineRule="auto"/>
        <w:ind w:left="181" w:leftChars="86" w:firstLine="0" w:firstLineChars="0"/>
        <w:jc w:val="left"/>
        <w:rPr>
          <w:rFonts w:ascii="宋体" w:hAnsi="宋体"/>
          <w:szCs w:val="21"/>
        </w:rPr>
      </w:pPr>
      <w:r>
        <w:rPr>
          <w:rFonts w:hint="eastAsia" w:ascii="宋体" w:hAnsi="宋体"/>
          <w:b/>
          <w:bCs/>
          <w:szCs w:val="21"/>
        </w:rPr>
        <w:t>理财产品估值：</w:t>
      </w:r>
      <w:r>
        <w:rPr>
          <w:rFonts w:hint="eastAsia" w:ascii="宋体" w:hAnsi="宋体"/>
          <w:szCs w:val="21"/>
        </w:rPr>
        <w:t>指计算评估理财产品资产以确定理财产品单位净值的过程。</w:t>
      </w:r>
    </w:p>
    <w:p w14:paraId="1B76BAF5">
      <w:pPr>
        <w:pStyle w:val="53"/>
        <w:numPr>
          <w:ilvl w:val="0"/>
          <w:numId w:val="1"/>
        </w:numPr>
        <w:autoSpaceDE w:val="0"/>
        <w:autoSpaceDN w:val="0"/>
        <w:adjustRightInd w:val="0"/>
        <w:snapToGrid w:val="0"/>
        <w:spacing w:line="300" w:lineRule="auto"/>
        <w:ind w:left="181" w:leftChars="86" w:firstLine="0" w:firstLineChars="0"/>
        <w:jc w:val="left"/>
        <w:rPr>
          <w:rFonts w:ascii="宋体" w:hAnsi="宋体"/>
          <w:szCs w:val="21"/>
        </w:rPr>
      </w:pPr>
      <w:r>
        <w:rPr>
          <w:rFonts w:hint="eastAsia" w:ascii="宋体" w:hAnsi="宋体"/>
          <w:b/>
          <w:bCs/>
          <w:szCs w:val="21"/>
        </w:rPr>
        <w:t>元：</w:t>
      </w:r>
      <w:r>
        <w:rPr>
          <w:rFonts w:hint="eastAsia" w:ascii="宋体" w:hAnsi="宋体"/>
          <w:szCs w:val="21"/>
        </w:rPr>
        <w:t>指人民币元。</w:t>
      </w:r>
    </w:p>
    <w:p w14:paraId="591D2AD0">
      <w:pPr>
        <w:pStyle w:val="53"/>
        <w:numPr>
          <w:ilvl w:val="0"/>
          <w:numId w:val="1"/>
        </w:numPr>
        <w:autoSpaceDE w:val="0"/>
        <w:autoSpaceDN w:val="0"/>
        <w:adjustRightInd w:val="0"/>
        <w:snapToGrid w:val="0"/>
        <w:spacing w:line="300" w:lineRule="auto"/>
        <w:ind w:left="0" w:firstLine="0" w:firstLineChars="0"/>
        <w:jc w:val="left"/>
        <w:rPr>
          <w:rFonts w:ascii="宋体" w:hAnsi="宋体"/>
          <w:b/>
          <w:bCs/>
          <w:szCs w:val="21"/>
        </w:rPr>
      </w:pPr>
      <w:r>
        <w:rPr>
          <w:rFonts w:hint="eastAsia" w:ascii="宋体" w:hAnsi="宋体" w:cs="宋体"/>
          <w:b/>
          <w:bCs/>
          <w:color w:val="000000"/>
          <w:kern w:val="0"/>
          <w:szCs w:val="21"/>
        </w:rPr>
        <w:t>不可抗力</w:t>
      </w:r>
      <w:r>
        <w:rPr>
          <w:rFonts w:hint="eastAsia" w:ascii="宋体" w:hAnsi="宋体"/>
          <w:b/>
          <w:bCs/>
          <w:szCs w:val="21"/>
        </w:rPr>
        <w:t>：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bookmarkEnd w:id="1"/>
    </w:p>
    <w:p w14:paraId="6264896E">
      <w:pPr>
        <w:pStyle w:val="53"/>
        <w:numPr>
          <w:ilvl w:val="0"/>
          <w:numId w:val="1"/>
        </w:numPr>
        <w:autoSpaceDE w:val="0"/>
        <w:autoSpaceDN w:val="0"/>
        <w:adjustRightInd w:val="0"/>
        <w:snapToGrid w:val="0"/>
        <w:spacing w:line="300" w:lineRule="auto"/>
        <w:ind w:left="0" w:firstLine="0" w:firstLineChars="0"/>
        <w:jc w:val="left"/>
        <w:rPr>
          <w:rFonts w:ascii="宋体" w:hAnsi="宋体"/>
          <w:b/>
          <w:bCs/>
          <w:szCs w:val="21"/>
        </w:rPr>
      </w:pPr>
      <w:r>
        <w:rPr>
          <w:rFonts w:hint="eastAsia" w:ascii="宋体" w:hAnsi="宋体"/>
          <w:b/>
          <w:bCs/>
          <w:szCs w:val="21"/>
        </w:rPr>
        <w:t>意外事件：包括但不限于系统故障、通讯故障、电力系统故障、金融危机、投资市场或投资品无法正常交易等情况。</w:t>
      </w:r>
    </w:p>
    <w:p w14:paraId="0BEB8774">
      <w:pPr>
        <w:autoSpaceDE w:val="0"/>
        <w:autoSpaceDN w:val="0"/>
        <w:adjustRightInd w:val="0"/>
        <w:spacing w:line="276" w:lineRule="auto"/>
        <w:jc w:val="left"/>
        <w:rPr>
          <w:rFonts w:ascii="宋体" w:hAnsi="宋体"/>
          <w:b/>
          <w:bCs/>
          <w:szCs w:val="21"/>
        </w:rPr>
      </w:pPr>
    </w:p>
    <w:bookmarkEnd w:id="0"/>
    <w:p w14:paraId="06DD4D42">
      <w:pPr>
        <w:spacing w:line="276" w:lineRule="auto"/>
        <w:outlineLvl w:val="0"/>
        <w:rPr>
          <w:rFonts w:ascii="Times New Roman" w:hAnsi="Times New Roman"/>
          <w:b/>
          <w:bCs/>
          <w:szCs w:val="21"/>
        </w:rPr>
      </w:pPr>
      <w:r>
        <w:rPr>
          <w:rFonts w:hint="eastAsia" w:ascii="Times New Roman" w:hAnsi="Times New Roman"/>
          <w:b/>
          <w:bCs/>
          <w:szCs w:val="21"/>
        </w:rPr>
        <w:t>一、产品概述</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6519"/>
      </w:tblGrid>
      <w:tr w14:paraId="36AB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3ED8BBD2">
            <w:pPr>
              <w:spacing w:line="276" w:lineRule="auto"/>
              <w:jc w:val="center"/>
              <w:rPr>
                <w:rFonts w:ascii="Times New Roman" w:hAnsi="Times New Roman"/>
                <w:bCs/>
                <w:szCs w:val="21"/>
              </w:rPr>
            </w:pPr>
            <w:r>
              <w:rPr>
                <w:rFonts w:hint="eastAsia" w:ascii="Times New Roman" w:hAnsi="Times New Roman"/>
                <w:bCs/>
                <w:szCs w:val="21"/>
              </w:rPr>
              <w:t>产品名称</w:t>
            </w:r>
          </w:p>
        </w:tc>
        <w:tc>
          <w:tcPr>
            <w:tcW w:w="6519" w:type="dxa"/>
          </w:tcPr>
          <w:p w14:paraId="79709633">
            <w:pPr>
              <w:spacing w:line="276" w:lineRule="auto"/>
              <w:rPr>
                <w:rFonts w:ascii="Times New Roman" w:hAnsi="Times New Roman"/>
                <w:bCs/>
                <w:szCs w:val="21"/>
              </w:rPr>
            </w:pPr>
            <w:r>
              <w:rPr>
                <w:rFonts w:hint="eastAsia" w:ascii="Times New Roman" w:hAnsi="Times New Roman" w:cs="宋体"/>
                <w:szCs w:val="21"/>
              </w:rPr>
              <w:t>渝农商理财渝盈宝天添向上6号</w:t>
            </w:r>
          </w:p>
        </w:tc>
      </w:tr>
      <w:tr w14:paraId="3D17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380D5829">
            <w:pPr>
              <w:spacing w:line="276" w:lineRule="auto"/>
              <w:jc w:val="center"/>
              <w:rPr>
                <w:rFonts w:ascii="Times New Roman" w:hAnsi="Times New Roman"/>
                <w:bCs/>
                <w:szCs w:val="21"/>
              </w:rPr>
            </w:pPr>
            <w:r>
              <w:rPr>
                <w:rFonts w:hint="eastAsia" w:ascii="Times New Roman" w:hAnsi="Times New Roman"/>
                <w:bCs/>
                <w:szCs w:val="21"/>
              </w:rPr>
              <w:t>产品编号</w:t>
            </w:r>
          </w:p>
        </w:tc>
        <w:tc>
          <w:tcPr>
            <w:tcW w:w="6519" w:type="dxa"/>
          </w:tcPr>
          <w:p w14:paraId="099E3FBA">
            <w:pPr>
              <w:spacing w:line="276" w:lineRule="auto"/>
              <w:rPr>
                <w:rFonts w:ascii="Times New Roman" w:hAnsi="Times New Roman"/>
                <w:szCs w:val="21"/>
              </w:rPr>
            </w:pPr>
            <w:r>
              <w:rPr>
                <w:rFonts w:hint="eastAsia" w:ascii="Times New Roman" w:hAnsi="Times New Roman" w:cs="宋体"/>
                <w:bCs/>
                <w:szCs w:val="21"/>
              </w:rPr>
              <w:t>22GSGK12006</w:t>
            </w:r>
          </w:p>
        </w:tc>
      </w:tr>
      <w:tr w14:paraId="5A03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1" w:type="dxa"/>
            <w:vAlign w:val="center"/>
          </w:tcPr>
          <w:p w14:paraId="4D4957BD">
            <w:pPr>
              <w:spacing w:line="276" w:lineRule="auto"/>
              <w:jc w:val="center"/>
              <w:rPr>
                <w:rFonts w:ascii="Times New Roman" w:hAnsi="Times New Roman"/>
                <w:bCs/>
                <w:szCs w:val="21"/>
              </w:rPr>
            </w:pPr>
            <w:r>
              <w:rPr>
                <w:rFonts w:hint="eastAsia" w:ascii="Times New Roman" w:hAnsi="Times New Roman"/>
                <w:bCs/>
                <w:szCs w:val="21"/>
              </w:rPr>
              <w:t>理财信息系统登记编码</w:t>
            </w:r>
          </w:p>
        </w:tc>
        <w:tc>
          <w:tcPr>
            <w:tcW w:w="6519" w:type="dxa"/>
          </w:tcPr>
          <w:p w14:paraId="39C6701A">
            <w:pPr>
              <w:spacing w:line="276" w:lineRule="auto"/>
              <w:rPr>
                <w:rFonts w:ascii="Times New Roman" w:hAnsi="Times New Roman"/>
                <w:bCs/>
                <w:szCs w:val="21"/>
              </w:rPr>
            </w:pPr>
            <w:r>
              <w:rPr>
                <w:rFonts w:ascii="Times New Roman" w:hAnsi="Times New Roman" w:cs="宋体"/>
                <w:szCs w:val="21"/>
              </w:rPr>
              <w:t>Z7002722000472</w:t>
            </w:r>
            <w:r>
              <w:rPr>
                <w:rFonts w:hint="eastAsia" w:ascii="Times New Roman" w:hAnsi="Times New Roman"/>
                <w:szCs w:val="21"/>
              </w:rPr>
              <w:t>。</w:t>
            </w:r>
            <w:r>
              <w:rPr>
                <w:rFonts w:hint="eastAsia" w:ascii="Times New Roman" w:hAnsi="Times New Roman" w:cs="宋体"/>
                <w:bCs/>
                <w:szCs w:val="21"/>
              </w:rPr>
              <w:t>投资者</w:t>
            </w:r>
            <w:r>
              <w:rPr>
                <w:rFonts w:hint="eastAsia" w:ascii="Times New Roman" w:hAnsi="Times New Roman" w:cs="宋体"/>
                <w:szCs w:val="21"/>
              </w:rPr>
              <w:t>可依据本产品理财信息系统登记编码在“中国理财网（</w:t>
            </w:r>
            <w:r>
              <w:rPr>
                <w:rFonts w:ascii="Times New Roman" w:hAnsi="Times New Roman" w:cs="宋体"/>
                <w:szCs w:val="21"/>
              </w:rPr>
              <w:t>www.chinawealth.com.cn）”上查询产品信息</w:t>
            </w:r>
            <w:r>
              <w:rPr>
                <w:rFonts w:hint="eastAsia" w:ascii="Times New Roman" w:hAnsi="Times New Roman"/>
                <w:szCs w:val="21"/>
              </w:rPr>
              <w:t>。</w:t>
            </w:r>
          </w:p>
        </w:tc>
      </w:tr>
      <w:tr w14:paraId="2907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1" w:type="dxa"/>
            <w:vAlign w:val="center"/>
          </w:tcPr>
          <w:p w14:paraId="1D45322D">
            <w:pPr>
              <w:spacing w:line="276" w:lineRule="auto"/>
              <w:jc w:val="center"/>
              <w:rPr>
                <w:rFonts w:ascii="Times New Roman" w:hAnsi="Times New Roman"/>
                <w:bCs/>
                <w:szCs w:val="21"/>
              </w:rPr>
            </w:pPr>
            <w:r>
              <w:rPr>
                <w:rFonts w:hint="eastAsia" w:ascii="Times New Roman" w:hAnsi="Times New Roman"/>
                <w:bCs/>
                <w:szCs w:val="21"/>
              </w:rPr>
              <w:t>产品风险评级</w:t>
            </w:r>
          </w:p>
        </w:tc>
        <w:tc>
          <w:tcPr>
            <w:tcW w:w="6519" w:type="dxa"/>
          </w:tcPr>
          <w:p w14:paraId="7455E94E">
            <w:pPr>
              <w:spacing w:line="276" w:lineRule="auto"/>
              <w:rPr>
                <w:rFonts w:ascii="Times New Roman" w:hAnsi="Times New Roman"/>
                <w:bCs/>
                <w:szCs w:val="21"/>
              </w:rPr>
            </w:pPr>
            <w:r>
              <w:rPr>
                <w:rFonts w:ascii="Times New Roman" w:hAnsi="Times New Roman"/>
                <w:b/>
                <w:bCs/>
                <w:szCs w:val="21"/>
              </w:rPr>
              <w:t>一</w:t>
            </w:r>
            <w:r>
              <w:rPr>
                <w:rFonts w:hint="eastAsia" w:ascii="Times New Roman" w:hAnsi="Times New Roman"/>
                <w:b/>
                <w:bCs/>
                <w:szCs w:val="21"/>
              </w:rPr>
              <w:t>级（</w:t>
            </w:r>
            <w:r>
              <w:rPr>
                <w:rFonts w:ascii="Times New Roman" w:hAnsi="Times New Roman"/>
                <w:b/>
                <w:bCs/>
                <w:szCs w:val="21"/>
              </w:rPr>
              <w:t>本产品的风险评级仅是</w:t>
            </w:r>
            <w:r>
              <w:rPr>
                <w:rFonts w:hint="eastAsia" w:ascii="Times New Roman" w:hAnsi="Times New Roman"/>
                <w:b/>
                <w:bCs/>
                <w:szCs w:val="21"/>
              </w:rPr>
              <w:t>渝农商理财有限责任公司</w:t>
            </w:r>
            <w:r>
              <w:rPr>
                <w:rFonts w:ascii="Times New Roman" w:hAnsi="Times New Roman"/>
                <w:b/>
                <w:bCs/>
                <w:szCs w:val="21"/>
              </w:rPr>
              <w:t>内部测评结果，仅供</w:t>
            </w:r>
            <w:r>
              <w:rPr>
                <w:rFonts w:hint="eastAsia" w:ascii="Times New Roman" w:hAnsi="Times New Roman"/>
                <w:b/>
                <w:bCs/>
                <w:szCs w:val="21"/>
              </w:rPr>
              <w:t>投资者</w:t>
            </w:r>
            <w:r>
              <w:rPr>
                <w:rFonts w:ascii="Times New Roman" w:hAnsi="Times New Roman"/>
                <w:b/>
                <w:bCs/>
                <w:szCs w:val="21"/>
              </w:rPr>
              <w:t>参考</w:t>
            </w:r>
            <w:r>
              <w:rPr>
                <w:rFonts w:hint="eastAsia" w:ascii="Times New Roman" w:hAnsi="Times New Roman"/>
                <w:b/>
                <w:bCs/>
                <w:szCs w:val="21"/>
              </w:rPr>
              <w:t>，若</w:t>
            </w:r>
            <w:r>
              <w:rPr>
                <w:rFonts w:hint="eastAsia"/>
                <w:b/>
                <w:bCs/>
              </w:rPr>
              <w:t>本产品通过代理销售机构渠道销售的，理财产品评级应当以代理销售机构最终披露的评级结果为准。</w:t>
            </w:r>
            <w:r>
              <w:rPr>
                <w:rFonts w:hint="eastAsia" w:ascii="Times New Roman" w:hAnsi="Times New Roman"/>
                <w:b/>
                <w:bCs/>
                <w:szCs w:val="21"/>
              </w:rPr>
              <w:t>）</w:t>
            </w:r>
          </w:p>
        </w:tc>
      </w:tr>
      <w:tr w14:paraId="65A9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1" w:type="dxa"/>
            <w:vAlign w:val="center"/>
          </w:tcPr>
          <w:p w14:paraId="6BD7889F">
            <w:pPr>
              <w:spacing w:line="276" w:lineRule="auto"/>
              <w:jc w:val="center"/>
              <w:rPr>
                <w:rFonts w:ascii="Times New Roman" w:hAnsi="Times New Roman" w:cs="宋体"/>
                <w:bCs/>
                <w:szCs w:val="21"/>
              </w:rPr>
            </w:pPr>
            <w:r>
              <w:rPr>
                <w:rFonts w:hint="eastAsia" w:ascii="Times New Roman" w:hAnsi="Times New Roman"/>
                <w:bCs/>
                <w:szCs w:val="21"/>
              </w:rPr>
              <w:t>理财产品份额类别</w:t>
            </w:r>
          </w:p>
        </w:tc>
        <w:tc>
          <w:tcPr>
            <w:tcW w:w="6519" w:type="dxa"/>
          </w:tcPr>
          <w:p w14:paraId="4D74DF36">
            <w:pPr>
              <w:spacing w:line="276" w:lineRule="auto"/>
              <w:rPr>
                <w:rFonts w:ascii="Times New Roman" w:hAnsi="Times New Roman" w:cs="宋体"/>
                <w:szCs w:val="21"/>
              </w:rPr>
            </w:pPr>
            <w:r>
              <w:rPr>
                <w:rFonts w:hint="eastAsia" w:ascii="Times New Roman" w:hAnsi="Times New Roman" w:cs="宋体"/>
                <w:szCs w:val="21"/>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11B0F4A5">
            <w:pPr>
              <w:spacing w:line="276" w:lineRule="auto"/>
              <w:rPr>
                <w:rFonts w:ascii="Times New Roman" w:hAnsi="Times New Roman" w:cs="宋体"/>
                <w:szCs w:val="21"/>
              </w:rPr>
            </w:pPr>
            <w:r>
              <w:rPr>
                <w:rFonts w:hint="eastAsia" w:ascii="Times New Roman" w:hAnsi="Times New Roman" w:cs="宋体"/>
                <w:szCs w:val="21"/>
              </w:rPr>
              <w:t>A份额：份额代码22GSGK12006</w:t>
            </w:r>
          </w:p>
          <w:p w14:paraId="68BFF048">
            <w:pPr>
              <w:spacing w:line="276" w:lineRule="auto"/>
              <w:rPr>
                <w:rFonts w:ascii="Times New Roman" w:hAnsi="Times New Roman" w:cs="宋体"/>
                <w:szCs w:val="21"/>
              </w:rPr>
            </w:pPr>
            <w:r>
              <w:rPr>
                <w:rFonts w:hint="eastAsia" w:ascii="Times New Roman" w:hAnsi="Times New Roman" w:cs="宋体"/>
                <w:szCs w:val="21"/>
              </w:rPr>
              <w:t>B份额：份额代码22GSGK12006B</w:t>
            </w:r>
          </w:p>
          <w:p w14:paraId="59CF35B7">
            <w:pPr>
              <w:spacing w:line="276" w:lineRule="auto"/>
              <w:rPr>
                <w:rFonts w:ascii="Times New Roman" w:hAnsi="Times New Roman" w:cs="宋体"/>
                <w:szCs w:val="21"/>
              </w:rPr>
            </w:pPr>
            <w:r>
              <w:rPr>
                <w:rFonts w:hint="eastAsia" w:ascii="Times New Roman" w:hAnsi="Times New Roman" w:cs="宋体"/>
                <w:szCs w:val="21"/>
              </w:rPr>
              <w:t>C份额：份额代码22GSGK12006C</w:t>
            </w:r>
          </w:p>
          <w:p w14:paraId="5EE35CDC">
            <w:pPr>
              <w:spacing w:line="276" w:lineRule="auto"/>
              <w:rPr>
                <w:rFonts w:ascii="Times New Roman" w:hAnsi="Times New Roman" w:cs="宋体"/>
                <w:szCs w:val="21"/>
              </w:rPr>
            </w:pPr>
            <w:r>
              <w:rPr>
                <w:rFonts w:hint="eastAsia" w:ascii="Times New Roman" w:hAnsi="Times New Roman" w:cs="宋体"/>
                <w:szCs w:val="21"/>
              </w:rPr>
              <w:t>D份额：份额代码22GSGK12006D</w:t>
            </w:r>
          </w:p>
          <w:p w14:paraId="427D990F">
            <w:pPr>
              <w:spacing w:line="276" w:lineRule="auto"/>
              <w:rPr>
                <w:rFonts w:ascii="Times New Roman" w:hAnsi="Times New Roman" w:cs="宋体"/>
                <w:szCs w:val="21"/>
              </w:rPr>
            </w:pPr>
            <w:r>
              <w:rPr>
                <w:rFonts w:hint="eastAsia" w:ascii="Times New Roman" w:hAnsi="Times New Roman" w:cs="宋体"/>
                <w:szCs w:val="21"/>
              </w:rPr>
              <w:t>E份额：份额代码22GSGK12006E</w:t>
            </w:r>
          </w:p>
          <w:p w14:paraId="0105F263">
            <w:pPr>
              <w:spacing w:line="276" w:lineRule="auto"/>
              <w:rPr>
                <w:rFonts w:ascii="Times New Roman" w:hAnsi="Times New Roman" w:cs="宋体"/>
                <w:szCs w:val="21"/>
              </w:rPr>
            </w:pPr>
            <w:r>
              <w:rPr>
                <w:rFonts w:hint="eastAsia" w:ascii="Times New Roman" w:hAnsi="Times New Roman" w:cs="宋体"/>
                <w:szCs w:val="21"/>
              </w:rPr>
              <w:t>F份额：份额代码22GSGK12006F</w:t>
            </w:r>
          </w:p>
          <w:p w14:paraId="1AA8377A">
            <w:pPr>
              <w:spacing w:line="276" w:lineRule="auto"/>
              <w:rPr>
                <w:rFonts w:ascii="Times New Roman" w:hAnsi="Times New Roman" w:cs="宋体"/>
                <w:szCs w:val="21"/>
              </w:rPr>
            </w:pPr>
            <w:r>
              <w:rPr>
                <w:rFonts w:hint="eastAsia" w:ascii="Times New Roman" w:hAnsi="Times New Roman" w:cs="宋体"/>
                <w:szCs w:val="21"/>
              </w:rPr>
              <w:t>G份额：份额代码22GSGK12006G</w:t>
            </w:r>
          </w:p>
          <w:p w14:paraId="22DBC5C7">
            <w:pPr>
              <w:spacing w:line="276" w:lineRule="auto"/>
              <w:rPr>
                <w:rFonts w:ascii="Times New Roman" w:hAnsi="Times New Roman" w:cs="宋体"/>
                <w:szCs w:val="21"/>
              </w:rPr>
            </w:pPr>
            <w:r>
              <w:rPr>
                <w:rFonts w:hint="eastAsia" w:ascii="Times New Roman" w:hAnsi="Times New Roman" w:cs="宋体"/>
                <w:szCs w:val="21"/>
              </w:rPr>
              <w:t>H份额：份额代码22GSGK12006H</w:t>
            </w:r>
          </w:p>
          <w:p w14:paraId="27D81BFA">
            <w:pPr>
              <w:spacing w:line="276" w:lineRule="auto"/>
              <w:rPr>
                <w:rFonts w:ascii="Times New Roman" w:hAnsi="Times New Roman" w:cs="宋体"/>
                <w:szCs w:val="21"/>
              </w:rPr>
            </w:pPr>
            <w:r>
              <w:rPr>
                <w:rFonts w:ascii="Times New Roman" w:hAnsi="Times New Roman" w:cs="宋体"/>
                <w:szCs w:val="21"/>
              </w:rPr>
              <w:t>I</w:t>
            </w:r>
            <w:r>
              <w:rPr>
                <w:rFonts w:hint="eastAsia" w:ascii="Times New Roman" w:hAnsi="Times New Roman" w:cs="宋体"/>
                <w:szCs w:val="21"/>
              </w:rPr>
              <w:t>份额：份额代码22GSGK12006</w:t>
            </w:r>
            <w:r>
              <w:rPr>
                <w:rFonts w:ascii="Times New Roman" w:hAnsi="Times New Roman" w:cs="宋体"/>
                <w:szCs w:val="21"/>
              </w:rPr>
              <w:t>I</w:t>
            </w:r>
          </w:p>
          <w:p w14:paraId="5988286C">
            <w:pPr>
              <w:spacing w:line="276" w:lineRule="auto"/>
              <w:rPr>
                <w:rFonts w:ascii="Times New Roman" w:hAnsi="Times New Roman" w:cs="宋体"/>
                <w:szCs w:val="21"/>
              </w:rPr>
            </w:pPr>
          </w:p>
          <w:p w14:paraId="6B667E75">
            <w:pPr>
              <w:spacing w:line="276" w:lineRule="auto"/>
              <w:rPr>
                <w:rFonts w:ascii="Times New Roman" w:hAnsi="Times New Roman" w:cs="宋体"/>
                <w:szCs w:val="21"/>
              </w:rPr>
            </w:pPr>
            <w:r>
              <w:rPr>
                <w:rFonts w:hint="eastAsia" w:ascii="Times New Roman" w:hAnsi="Times New Roman" w:cs="宋体"/>
                <w:szCs w:val="21"/>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cs="宋体"/>
                <w:b/>
                <w:bCs/>
                <w:szCs w:val="21"/>
              </w:rPr>
              <w:t>投资者未在变更生效前提出赎回申请的，视为同意接受变更后条</w:t>
            </w:r>
            <w:r>
              <w:rPr>
                <w:rFonts w:hint="eastAsia" w:ascii="Times New Roman" w:hAnsi="Times New Roman" w:cs="宋体"/>
                <w:szCs w:val="21"/>
              </w:rPr>
              <w:t>款，产品管理人有权按照变更后的约定内容进行操作。</w:t>
            </w:r>
          </w:p>
        </w:tc>
      </w:tr>
      <w:tr w14:paraId="238F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1" w:type="dxa"/>
            <w:vAlign w:val="center"/>
          </w:tcPr>
          <w:p w14:paraId="17DD6681">
            <w:pPr>
              <w:spacing w:line="276" w:lineRule="auto"/>
              <w:jc w:val="center"/>
              <w:rPr>
                <w:rFonts w:ascii="Times New Roman" w:hAnsi="Times New Roman"/>
                <w:bCs/>
                <w:szCs w:val="21"/>
              </w:rPr>
            </w:pPr>
            <w:r>
              <w:rPr>
                <w:rFonts w:hint="eastAsia" w:ascii="Times New Roman" w:hAnsi="Times New Roman" w:cs="宋体"/>
                <w:bCs/>
                <w:szCs w:val="21"/>
              </w:rPr>
              <w:t>销售对象</w:t>
            </w:r>
          </w:p>
        </w:tc>
        <w:tc>
          <w:tcPr>
            <w:tcW w:w="6519" w:type="dxa"/>
          </w:tcPr>
          <w:p w14:paraId="57022A8F">
            <w:pPr>
              <w:spacing w:line="276" w:lineRule="auto"/>
              <w:rPr>
                <w:rFonts w:ascii="Times New Roman" w:hAnsi="Times New Roman"/>
                <w:bCs/>
                <w:szCs w:val="21"/>
              </w:rPr>
            </w:pPr>
            <w:r>
              <w:rPr>
                <w:rFonts w:hint="eastAsia" w:ascii="Times New Roman" w:hAnsi="Times New Roman" w:cs="宋体"/>
                <w:szCs w:val="21"/>
              </w:rPr>
              <w:t>不特定社会公众</w:t>
            </w:r>
          </w:p>
        </w:tc>
      </w:tr>
      <w:tr w14:paraId="7BC3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1" w:type="dxa"/>
            <w:vAlign w:val="center"/>
          </w:tcPr>
          <w:p w14:paraId="7527BA19">
            <w:pPr>
              <w:spacing w:line="276" w:lineRule="auto"/>
              <w:jc w:val="center"/>
              <w:rPr>
                <w:rFonts w:ascii="Times New Roman" w:hAnsi="Times New Roman"/>
                <w:bCs/>
                <w:szCs w:val="21"/>
              </w:rPr>
            </w:pPr>
            <w:r>
              <w:rPr>
                <w:rFonts w:hint="eastAsia" w:ascii="Times New Roman" w:hAnsi="Times New Roman" w:cs="宋体"/>
                <w:bCs/>
                <w:szCs w:val="21"/>
              </w:rPr>
              <w:t>适合投资者类型</w:t>
            </w:r>
          </w:p>
        </w:tc>
        <w:tc>
          <w:tcPr>
            <w:tcW w:w="6519" w:type="dxa"/>
          </w:tcPr>
          <w:p w14:paraId="39991DE0">
            <w:pPr>
              <w:spacing w:line="276" w:lineRule="auto"/>
              <w:rPr>
                <w:rFonts w:ascii="Times New Roman" w:hAnsi="Times New Roman" w:cs="宋体"/>
                <w:szCs w:val="21"/>
              </w:rPr>
            </w:pPr>
            <w:r>
              <w:rPr>
                <w:rFonts w:hint="eastAsia" w:ascii="Times New Roman" w:hAnsi="Times New Roman" w:cs="宋体"/>
                <w:szCs w:val="21"/>
              </w:rPr>
              <w:t>本产品适合经销售机构评定为保守型、稳健型、平衡型、积极型、激进型的个人投资者，机构投资者。</w:t>
            </w:r>
          </w:p>
          <w:p w14:paraId="4B3A33EF">
            <w:pPr>
              <w:spacing w:line="276" w:lineRule="auto"/>
              <w:rPr>
                <w:rFonts w:ascii="Times New Roman" w:hAnsi="Times New Roman" w:cs="宋体"/>
                <w:szCs w:val="21"/>
              </w:rPr>
            </w:pPr>
            <w:r>
              <w:rPr>
                <w:rFonts w:hint="eastAsia" w:ascii="Times New Roman" w:hAnsi="Times New Roman" w:cs="宋体"/>
                <w:szCs w:val="21"/>
              </w:rPr>
              <w:t xml:space="preserve">其中： </w:t>
            </w:r>
          </w:p>
          <w:p w14:paraId="3EB35082">
            <w:pPr>
              <w:spacing w:before="7" w:line="276" w:lineRule="auto"/>
              <w:ind w:right="93"/>
              <w:rPr>
                <w:rFonts w:ascii="Times New Roman" w:hAnsi="Times New Roman" w:cs="宋体"/>
                <w:szCs w:val="21"/>
              </w:rPr>
            </w:pPr>
            <w:r>
              <w:rPr>
                <w:rFonts w:hint="eastAsia" w:ascii="Times New Roman" w:hAnsi="Times New Roman" w:cs="宋体"/>
                <w:szCs w:val="21"/>
              </w:rPr>
              <w:t>A份额适合保守型、稳健型、平衡型、积极型、激进型的个人投资者，机构投资者；</w:t>
            </w:r>
          </w:p>
          <w:p w14:paraId="39E107CE">
            <w:pPr>
              <w:spacing w:before="7" w:line="276" w:lineRule="auto"/>
              <w:ind w:right="93"/>
              <w:rPr>
                <w:rFonts w:ascii="Times New Roman" w:hAnsi="Times New Roman" w:cs="宋体"/>
                <w:szCs w:val="21"/>
              </w:rPr>
            </w:pPr>
            <w:r>
              <w:rPr>
                <w:rFonts w:hint="eastAsia" w:ascii="Times New Roman" w:hAnsi="Times New Roman" w:cs="宋体"/>
                <w:szCs w:val="21"/>
              </w:rPr>
              <w:t>B份额适合保守型、稳健型、平衡型、积极型、激进型的个人投资者，机构投资者；</w:t>
            </w:r>
          </w:p>
          <w:p w14:paraId="1C0ED375">
            <w:pPr>
              <w:spacing w:before="7" w:line="276" w:lineRule="auto"/>
              <w:ind w:right="93"/>
              <w:rPr>
                <w:rFonts w:ascii="Times New Roman" w:hAnsi="Times New Roman" w:cs="宋体"/>
                <w:szCs w:val="21"/>
              </w:rPr>
            </w:pPr>
            <w:r>
              <w:rPr>
                <w:rFonts w:hint="eastAsia" w:ascii="Times New Roman" w:hAnsi="Times New Roman" w:cs="宋体"/>
                <w:szCs w:val="21"/>
              </w:rPr>
              <w:t>C份额适合保守型、稳健型、平衡型、积极型、激进型的个人投资者，机构投资者；</w:t>
            </w:r>
          </w:p>
          <w:p w14:paraId="2637A035">
            <w:pPr>
              <w:spacing w:before="7" w:line="276" w:lineRule="auto"/>
              <w:ind w:right="93"/>
              <w:rPr>
                <w:rFonts w:ascii="Times New Roman" w:hAnsi="Times New Roman" w:cs="宋体"/>
                <w:szCs w:val="21"/>
              </w:rPr>
            </w:pPr>
            <w:r>
              <w:rPr>
                <w:rFonts w:hint="eastAsia" w:ascii="Times New Roman" w:hAnsi="Times New Roman" w:cs="宋体"/>
                <w:szCs w:val="21"/>
              </w:rPr>
              <w:t>D份额适合保守型、稳健型、平衡型、积极型、激进型的个人投资者，机构投资者；</w:t>
            </w:r>
          </w:p>
          <w:p w14:paraId="136CDE50">
            <w:pPr>
              <w:spacing w:before="7" w:line="276" w:lineRule="auto"/>
              <w:ind w:right="93"/>
              <w:rPr>
                <w:rFonts w:ascii="Times New Roman" w:hAnsi="Times New Roman" w:cs="宋体"/>
                <w:szCs w:val="21"/>
              </w:rPr>
            </w:pPr>
            <w:r>
              <w:rPr>
                <w:rFonts w:hint="eastAsia" w:ascii="Times New Roman" w:hAnsi="Times New Roman" w:cs="宋体"/>
                <w:szCs w:val="21"/>
              </w:rPr>
              <w:t>E份额适合保守型、稳健型、平衡型、积极型、激进型的个人投资者，机构投资者；</w:t>
            </w:r>
          </w:p>
          <w:p w14:paraId="4F5D97C3">
            <w:pPr>
              <w:spacing w:before="7" w:line="276" w:lineRule="auto"/>
              <w:ind w:right="93"/>
              <w:rPr>
                <w:rFonts w:ascii="Times New Roman" w:hAnsi="Times New Roman" w:cs="宋体"/>
                <w:szCs w:val="21"/>
              </w:rPr>
            </w:pPr>
            <w:r>
              <w:rPr>
                <w:rFonts w:hint="eastAsia" w:ascii="Times New Roman" w:hAnsi="Times New Roman" w:cs="宋体"/>
                <w:szCs w:val="21"/>
              </w:rPr>
              <w:t>F份额适合保守型、稳健型、平衡型、积极型、激进型的个人投资者，机构投资者；</w:t>
            </w:r>
          </w:p>
          <w:p w14:paraId="1BE39FC0">
            <w:pPr>
              <w:spacing w:before="7" w:line="276" w:lineRule="auto"/>
              <w:ind w:right="93"/>
              <w:rPr>
                <w:rFonts w:ascii="Times New Roman" w:hAnsi="Times New Roman" w:cs="宋体"/>
                <w:szCs w:val="21"/>
              </w:rPr>
            </w:pPr>
            <w:r>
              <w:rPr>
                <w:rFonts w:hint="eastAsia" w:ascii="Times New Roman" w:hAnsi="Times New Roman" w:cs="宋体"/>
                <w:szCs w:val="21"/>
              </w:rPr>
              <w:t>G份额适合保守型、稳健型、平衡型、积极型、激进型的个人投资者，机构投资者；</w:t>
            </w:r>
          </w:p>
          <w:p w14:paraId="60B4A07E">
            <w:pPr>
              <w:spacing w:before="7" w:line="276" w:lineRule="auto"/>
              <w:ind w:right="93"/>
              <w:rPr>
                <w:rFonts w:ascii="Times New Roman" w:hAnsi="Times New Roman" w:cs="宋体"/>
                <w:szCs w:val="21"/>
              </w:rPr>
            </w:pPr>
            <w:r>
              <w:rPr>
                <w:rFonts w:hint="eastAsia" w:ascii="Times New Roman" w:hAnsi="Times New Roman" w:cs="宋体"/>
                <w:szCs w:val="21"/>
              </w:rPr>
              <w:t>H份额适合保守型、稳健型、平衡型、积极型、激进型的个人投资者，机构投资者；</w:t>
            </w:r>
          </w:p>
          <w:p w14:paraId="28834A1B">
            <w:pPr>
              <w:spacing w:before="7" w:line="276" w:lineRule="auto"/>
              <w:ind w:right="93"/>
              <w:rPr>
                <w:rFonts w:ascii="Times New Roman" w:hAnsi="Times New Roman" w:cs="宋体"/>
                <w:szCs w:val="21"/>
              </w:rPr>
            </w:pPr>
            <w:r>
              <w:rPr>
                <w:rFonts w:ascii="Times New Roman" w:hAnsi="Times New Roman" w:cs="宋体"/>
                <w:szCs w:val="21"/>
              </w:rPr>
              <w:t>I</w:t>
            </w:r>
            <w:r>
              <w:rPr>
                <w:rFonts w:hint="eastAsia" w:ascii="Times New Roman" w:hAnsi="Times New Roman" w:cs="宋体"/>
                <w:szCs w:val="21"/>
              </w:rPr>
              <w:t>份额适合保守型、稳健型、平衡型、积极型、激进型的个人投资者，机构投资者；</w:t>
            </w:r>
          </w:p>
          <w:p w14:paraId="61FDD08A">
            <w:pPr>
              <w:spacing w:line="276" w:lineRule="auto"/>
              <w:rPr>
                <w:rFonts w:ascii="Times New Roman" w:hAnsi="Times New Roman"/>
                <w:bCs/>
                <w:szCs w:val="21"/>
              </w:rPr>
            </w:pPr>
            <w:r>
              <w:rPr>
                <w:rFonts w:hint="eastAsia" w:ascii="Times New Roman" w:hAnsi="Times New Roman" w:cs="宋体"/>
                <w:szCs w:val="21"/>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5930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1" w:type="dxa"/>
            <w:vAlign w:val="center"/>
          </w:tcPr>
          <w:p w14:paraId="5D3F9371">
            <w:pPr>
              <w:spacing w:line="276" w:lineRule="auto"/>
              <w:jc w:val="center"/>
              <w:rPr>
                <w:rFonts w:ascii="Times New Roman" w:hAnsi="Times New Roman"/>
                <w:bCs/>
                <w:szCs w:val="21"/>
              </w:rPr>
            </w:pPr>
            <w:r>
              <w:rPr>
                <w:rFonts w:hint="eastAsia" w:ascii="Times New Roman" w:hAnsi="Times New Roman" w:cs="宋体"/>
                <w:bCs/>
                <w:szCs w:val="21"/>
              </w:rPr>
              <w:t>销售范围</w:t>
            </w:r>
          </w:p>
        </w:tc>
        <w:tc>
          <w:tcPr>
            <w:tcW w:w="6519" w:type="dxa"/>
          </w:tcPr>
          <w:p w14:paraId="3FE5C102">
            <w:pPr>
              <w:spacing w:line="276" w:lineRule="auto"/>
              <w:rPr>
                <w:rFonts w:ascii="Times New Roman" w:hAnsi="Times New Roman"/>
                <w:bCs/>
                <w:szCs w:val="21"/>
              </w:rPr>
            </w:pPr>
            <w:r>
              <w:rPr>
                <w:rFonts w:hint="eastAsia" w:ascii="Times New Roman" w:hAnsi="Times New Roman" w:cs="宋体"/>
                <w:szCs w:val="21"/>
              </w:rPr>
              <w:t>全国</w:t>
            </w:r>
          </w:p>
        </w:tc>
      </w:tr>
      <w:tr w14:paraId="55AE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8C0DDE4">
            <w:pPr>
              <w:spacing w:line="276" w:lineRule="auto"/>
              <w:jc w:val="center"/>
              <w:rPr>
                <w:rFonts w:ascii="Times New Roman" w:hAnsi="Times New Roman"/>
                <w:bCs/>
                <w:szCs w:val="21"/>
              </w:rPr>
            </w:pPr>
            <w:r>
              <w:rPr>
                <w:rFonts w:hint="eastAsia" w:ascii="Times New Roman" w:hAnsi="Times New Roman"/>
                <w:bCs/>
                <w:szCs w:val="21"/>
              </w:rPr>
              <w:t>投资及收益币种</w:t>
            </w:r>
          </w:p>
        </w:tc>
        <w:tc>
          <w:tcPr>
            <w:tcW w:w="6519" w:type="dxa"/>
          </w:tcPr>
          <w:p w14:paraId="39653270">
            <w:pPr>
              <w:spacing w:line="276" w:lineRule="auto"/>
              <w:rPr>
                <w:rFonts w:ascii="Times New Roman" w:hAnsi="Times New Roman"/>
                <w:bCs/>
                <w:szCs w:val="21"/>
              </w:rPr>
            </w:pPr>
            <w:r>
              <w:rPr>
                <w:rFonts w:hint="eastAsia" w:ascii="Times New Roman" w:hAnsi="Times New Roman"/>
                <w:bCs/>
                <w:szCs w:val="21"/>
              </w:rPr>
              <w:t>人民币</w:t>
            </w:r>
          </w:p>
        </w:tc>
      </w:tr>
      <w:tr w14:paraId="72BF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0D5500F0">
            <w:pPr>
              <w:spacing w:line="276" w:lineRule="auto"/>
              <w:jc w:val="center"/>
              <w:rPr>
                <w:rFonts w:ascii="Times New Roman" w:hAnsi="Times New Roman"/>
                <w:bCs/>
                <w:szCs w:val="21"/>
              </w:rPr>
            </w:pPr>
            <w:r>
              <w:rPr>
                <w:rFonts w:hint="eastAsia" w:ascii="Times New Roman" w:hAnsi="Times New Roman"/>
                <w:bCs/>
                <w:szCs w:val="21"/>
              </w:rPr>
              <w:t>产品类型</w:t>
            </w:r>
          </w:p>
        </w:tc>
        <w:tc>
          <w:tcPr>
            <w:tcW w:w="6519" w:type="dxa"/>
          </w:tcPr>
          <w:p w14:paraId="1AACBAE2">
            <w:pPr>
              <w:spacing w:line="276" w:lineRule="auto"/>
              <w:rPr>
                <w:rFonts w:ascii="Times New Roman" w:hAnsi="Times New Roman"/>
                <w:b/>
                <w:bCs/>
                <w:szCs w:val="21"/>
              </w:rPr>
            </w:pPr>
            <w:r>
              <w:rPr>
                <w:rFonts w:hint="eastAsia" w:ascii="Times New Roman" w:hAnsi="Times New Roman"/>
                <w:b/>
                <w:bCs/>
                <w:szCs w:val="21"/>
              </w:rPr>
              <w:t>公募、固定收益类、非保本浮动收益型</w:t>
            </w:r>
          </w:p>
        </w:tc>
      </w:tr>
      <w:tr w14:paraId="2AE2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14:paraId="1AB6A172">
            <w:pPr>
              <w:spacing w:line="276" w:lineRule="auto"/>
              <w:jc w:val="center"/>
              <w:rPr>
                <w:rFonts w:ascii="Times New Roman" w:hAnsi="Times New Roman"/>
                <w:bCs/>
                <w:szCs w:val="21"/>
              </w:rPr>
            </w:pPr>
            <w:r>
              <w:rPr>
                <w:rFonts w:hint="eastAsia" w:ascii="Times New Roman" w:hAnsi="Times New Roman"/>
                <w:szCs w:val="21"/>
              </w:rPr>
              <w:t>产品运作方式</w:t>
            </w:r>
          </w:p>
        </w:tc>
        <w:tc>
          <w:tcPr>
            <w:tcW w:w="6519" w:type="dxa"/>
          </w:tcPr>
          <w:p w14:paraId="2DF07E88">
            <w:pPr>
              <w:spacing w:line="276" w:lineRule="auto"/>
              <w:rPr>
                <w:rFonts w:ascii="Times New Roman" w:hAnsi="Times New Roman"/>
                <w:b/>
                <w:bCs/>
                <w:szCs w:val="21"/>
              </w:rPr>
            </w:pPr>
            <w:r>
              <w:rPr>
                <w:rFonts w:hint="eastAsia" w:ascii="Times New Roman" w:hAnsi="Times New Roman"/>
                <w:szCs w:val="21"/>
              </w:rPr>
              <w:t>开放式</w:t>
            </w:r>
          </w:p>
        </w:tc>
      </w:tr>
      <w:tr w14:paraId="37D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61" w:type="dxa"/>
            <w:vAlign w:val="center"/>
          </w:tcPr>
          <w:p w14:paraId="41583B14">
            <w:pPr>
              <w:spacing w:line="276" w:lineRule="auto"/>
              <w:jc w:val="center"/>
              <w:rPr>
                <w:rFonts w:ascii="Times New Roman" w:hAnsi="Times New Roman"/>
                <w:bCs/>
                <w:szCs w:val="21"/>
              </w:rPr>
            </w:pPr>
            <w:r>
              <w:rPr>
                <w:rFonts w:hint="eastAsia" w:ascii="Times New Roman" w:hAnsi="Times New Roman"/>
                <w:bCs/>
                <w:szCs w:val="21"/>
              </w:rPr>
              <w:t>产品期限</w:t>
            </w:r>
          </w:p>
        </w:tc>
        <w:tc>
          <w:tcPr>
            <w:tcW w:w="6519" w:type="dxa"/>
          </w:tcPr>
          <w:p w14:paraId="7796381F">
            <w:pPr>
              <w:spacing w:line="276" w:lineRule="auto"/>
              <w:rPr>
                <w:rFonts w:ascii="Times New Roman" w:hAnsi="Times New Roman"/>
                <w:bCs/>
                <w:szCs w:val="21"/>
              </w:rPr>
            </w:pPr>
            <w:r>
              <w:rPr>
                <w:rFonts w:hint="eastAsia" w:ascii="Times New Roman" w:hAnsi="Times New Roman"/>
                <w:bCs/>
                <w:szCs w:val="21"/>
              </w:rPr>
              <w:t>2023年1月4日至2050年12月31日</w:t>
            </w:r>
          </w:p>
        </w:tc>
      </w:tr>
      <w:tr w14:paraId="1B59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29AD36D8">
            <w:pPr>
              <w:spacing w:line="276" w:lineRule="auto"/>
              <w:jc w:val="center"/>
              <w:rPr>
                <w:rFonts w:ascii="Times New Roman" w:hAnsi="Times New Roman"/>
                <w:bCs/>
                <w:szCs w:val="21"/>
              </w:rPr>
            </w:pPr>
            <w:r>
              <w:rPr>
                <w:rFonts w:hint="eastAsia" w:ascii="Times New Roman" w:hAnsi="Times New Roman"/>
                <w:bCs/>
                <w:szCs w:val="21"/>
              </w:rPr>
              <w:t>产品规模</w:t>
            </w:r>
          </w:p>
        </w:tc>
        <w:tc>
          <w:tcPr>
            <w:tcW w:w="6519" w:type="dxa"/>
            <w:vAlign w:val="center"/>
          </w:tcPr>
          <w:p w14:paraId="4F9F108F">
            <w:pPr>
              <w:spacing w:line="276" w:lineRule="auto"/>
              <w:jc w:val="left"/>
              <w:rPr>
                <w:rFonts w:ascii="Times New Roman" w:hAnsi="Times New Roman"/>
                <w:bCs/>
                <w:szCs w:val="21"/>
              </w:rPr>
            </w:pPr>
            <w:r>
              <w:rPr>
                <w:rFonts w:hint="eastAsia" w:ascii="Times New Roman" w:hAnsi="Times New Roman"/>
                <w:bCs/>
                <w:szCs w:val="21"/>
              </w:rPr>
              <w:t>产品规模上限为100亿元，产品规模下限为1元（产品管理人有权根据产品实际运作情况调整产品规模）。</w:t>
            </w:r>
          </w:p>
        </w:tc>
      </w:tr>
      <w:tr w14:paraId="7F02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3C7EB8CA">
            <w:pPr>
              <w:spacing w:line="276" w:lineRule="auto"/>
              <w:jc w:val="center"/>
              <w:rPr>
                <w:rFonts w:ascii="Times New Roman" w:hAnsi="Times New Roman"/>
                <w:bCs/>
                <w:szCs w:val="21"/>
              </w:rPr>
            </w:pPr>
            <w:r>
              <w:rPr>
                <w:rFonts w:hint="eastAsia" w:ascii="Times New Roman" w:hAnsi="Times New Roman"/>
                <w:bCs/>
                <w:szCs w:val="21"/>
              </w:rPr>
              <w:t xml:space="preserve">募集期    </w:t>
            </w:r>
          </w:p>
          <w:p w14:paraId="48268579">
            <w:pPr>
              <w:spacing w:line="276" w:lineRule="auto"/>
              <w:jc w:val="center"/>
              <w:rPr>
                <w:rFonts w:ascii="Times New Roman" w:hAnsi="Times New Roman"/>
                <w:bCs/>
                <w:szCs w:val="21"/>
              </w:rPr>
            </w:pPr>
            <w:r>
              <w:rPr>
                <w:rFonts w:hint="eastAsia" w:ascii="Times New Roman" w:hAnsi="Times New Roman"/>
                <w:bCs/>
                <w:szCs w:val="21"/>
              </w:rPr>
              <w:t>（认购期）</w:t>
            </w:r>
          </w:p>
        </w:tc>
        <w:tc>
          <w:tcPr>
            <w:tcW w:w="6519" w:type="dxa"/>
          </w:tcPr>
          <w:p w14:paraId="7EAD4B0A">
            <w:pPr>
              <w:spacing w:line="276" w:lineRule="auto"/>
              <w:rPr>
                <w:rFonts w:ascii="Times New Roman" w:hAnsi="Times New Roman"/>
                <w:bCs/>
                <w:szCs w:val="21"/>
              </w:rPr>
            </w:pPr>
            <w:r>
              <w:rPr>
                <w:rFonts w:hint="eastAsia" w:ascii="Times New Roman" w:hAnsi="Times New Roman"/>
                <w:bCs/>
                <w:szCs w:val="21"/>
              </w:rPr>
              <w:t>2022年12月30日至2023年1月3日若本产品通过代理销售机构销售，代理销售机构实际受理时间可能与理财产品说明书不一致，具体以代理销售机构披露为准。（产品管理人有权根据市场变化情况缩短或延长募集期，并进行信息披露）。</w:t>
            </w:r>
          </w:p>
        </w:tc>
      </w:tr>
      <w:tr w14:paraId="0288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4879AAD0">
            <w:pPr>
              <w:spacing w:line="276" w:lineRule="auto"/>
              <w:jc w:val="center"/>
              <w:rPr>
                <w:rFonts w:ascii="Times New Roman" w:hAnsi="Times New Roman"/>
                <w:bCs/>
                <w:szCs w:val="21"/>
              </w:rPr>
            </w:pPr>
            <w:r>
              <w:rPr>
                <w:rFonts w:hint="eastAsia" w:ascii="Times New Roman" w:hAnsi="Times New Roman"/>
                <w:bCs/>
                <w:szCs w:val="21"/>
              </w:rPr>
              <w:t>产品成立日</w:t>
            </w:r>
          </w:p>
          <w:p w14:paraId="0B177F51">
            <w:pPr>
              <w:spacing w:line="276" w:lineRule="auto"/>
              <w:jc w:val="center"/>
              <w:rPr>
                <w:rFonts w:ascii="Times New Roman" w:hAnsi="Times New Roman"/>
                <w:bCs/>
                <w:szCs w:val="21"/>
              </w:rPr>
            </w:pPr>
            <w:r>
              <w:rPr>
                <w:rFonts w:hint="eastAsia" w:ascii="Times New Roman" w:hAnsi="Times New Roman"/>
                <w:bCs/>
                <w:szCs w:val="21"/>
              </w:rPr>
              <w:t>（认购确认日）</w:t>
            </w:r>
          </w:p>
        </w:tc>
        <w:tc>
          <w:tcPr>
            <w:tcW w:w="6519" w:type="dxa"/>
          </w:tcPr>
          <w:p w14:paraId="355FBD3A">
            <w:pPr>
              <w:spacing w:line="276" w:lineRule="auto"/>
              <w:rPr>
                <w:rFonts w:ascii="Times New Roman" w:hAnsi="Times New Roman"/>
                <w:bCs/>
                <w:szCs w:val="21"/>
              </w:rPr>
            </w:pPr>
            <w:r>
              <w:rPr>
                <w:rFonts w:hint="eastAsia" w:ascii="Times New Roman" w:hAnsi="Times New Roman"/>
                <w:bCs/>
                <w:szCs w:val="21"/>
              </w:rPr>
              <w:t>2023年1月4日（如遇非交易日顺延至下一个交易日）。</w:t>
            </w:r>
          </w:p>
          <w:p w14:paraId="4567126C">
            <w:pPr>
              <w:spacing w:line="276" w:lineRule="auto"/>
              <w:rPr>
                <w:rFonts w:ascii="Times New Roman" w:hAnsi="Times New Roman"/>
                <w:bCs/>
                <w:szCs w:val="21"/>
              </w:rPr>
            </w:pPr>
            <w:r>
              <w:rPr>
                <w:rFonts w:hint="eastAsia" w:ascii="Times New Roman" w:hAnsi="Times New Roman"/>
                <w:bCs/>
                <w:szCs w:val="21"/>
              </w:rPr>
              <w:t>若产品募集期缩短或延长，产品成立日以公告为准。</w:t>
            </w:r>
          </w:p>
          <w:p w14:paraId="0BEB3060">
            <w:pPr>
              <w:spacing w:line="276" w:lineRule="auto"/>
              <w:rPr>
                <w:rFonts w:ascii="Times New Roman" w:hAnsi="Times New Roman"/>
                <w:bCs/>
                <w:szCs w:val="21"/>
              </w:rPr>
            </w:pPr>
            <w:r>
              <w:rPr>
                <w:rFonts w:hint="eastAsia" w:ascii="Times New Roman" w:hAnsi="Times New Roman"/>
                <w:bCs/>
                <w:szCs w:val="21"/>
              </w:rPr>
              <w:t>若在认购期届满之日未达到产品规模下限，</w:t>
            </w:r>
            <w:r>
              <w:rPr>
                <w:rFonts w:hint="eastAsia" w:ascii="Times New Roman" w:hAnsi="Times New Roman"/>
                <w:szCs w:val="21"/>
              </w:rPr>
              <w:t>渝农商理财有限责任公司</w:t>
            </w:r>
            <w:r>
              <w:rPr>
                <w:rFonts w:hint="eastAsia" w:ascii="Times New Roman" w:hAnsi="Times New Roman"/>
                <w:bCs/>
                <w:szCs w:val="21"/>
              </w:rPr>
              <w:t>有权宣布本产品不能成立，认购资金将在认购期结束后2个交易日内返还至投资者账户，若本产品通过代理销售机构渠道销售的，具体到账时间以投资者与代理销售机构的约定为准。</w:t>
            </w:r>
          </w:p>
        </w:tc>
      </w:tr>
      <w:tr w14:paraId="2A29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61" w:type="dxa"/>
            <w:vAlign w:val="center"/>
          </w:tcPr>
          <w:p w14:paraId="72879A07">
            <w:pPr>
              <w:spacing w:line="276" w:lineRule="auto"/>
              <w:jc w:val="center"/>
              <w:rPr>
                <w:rFonts w:ascii="Times New Roman" w:hAnsi="Times New Roman"/>
                <w:b/>
                <w:szCs w:val="21"/>
              </w:rPr>
            </w:pPr>
            <w:r>
              <w:rPr>
                <w:rFonts w:hint="eastAsia" w:ascii="Times New Roman" w:hAnsi="Times New Roman"/>
                <w:b/>
                <w:szCs w:val="21"/>
              </w:rPr>
              <w:t>开放日</w:t>
            </w:r>
          </w:p>
        </w:tc>
        <w:tc>
          <w:tcPr>
            <w:tcW w:w="6519" w:type="dxa"/>
          </w:tcPr>
          <w:p w14:paraId="06265FCE">
            <w:pPr>
              <w:spacing w:line="276" w:lineRule="auto"/>
              <w:rPr>
                <w:rFonts w:ascii="Times New Roman" w:hAnsi="Times New Roman"/>
                <w:bCs/>
                <w:szCs w:val="21"/>
              </w:rPr>
            </w:pPr>
            <w:r>
              <w:rPr>
                <w:rFonts w:hint="eastAsia" w:ascii="Times New Roman" w:hAnsi="Times New Roman"/>
                <w:b/>
                <w:szCs w:val="21"/>
              </w:rPr>
              <w:t>开放日为产品成立后的每个交易日</w:t>
            </w:r>
            <w:r>
              <w:rPr>
                <w:rFonts w:hint="eastAsia" w:ascii="Times New Roman" w:hAnsi="Times New Roman"/>
                <w:bCs/>
                <w:szCs w:val="21"/>
              </w:rPr>
              <w:t>，首个开放日为2023年1月5日（如遇非交易日顺延至下一个交易日）。如遇其他情况，以管理人具体公告为准。</w:t>
            </w:r>
          </w:p>
        </w:tc>
      </w:tr>
      <w:tr w14:paraId="6C09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761" w:type="dxa"/>
            <w:vAlign w:val="center"/>
          </w:tcPr>
          <w:p w14:paraId="253F9391">
            <w:pPr>
              <w:spacing w:line="276" w:lineRule="auto"/>
              <w:jc w:val="center"/>
              <w:rPr>
                <w:rFonts w:ascii="Times New Roman" w:hAnsi="Times New Roman"/>
                <w:b/>
                <w:bCs/>
                <w:szCs w:val="21"/>
              </w:rPr>
            </w:pPr>
            <w:r>
              <w:rPr>
                <w:rFonts w:hint="eastAsia" w:ascii="Times New Roman" w:hAnsi="Times New Roman"/>
                <w:b/>
                <w:bCs/>
                <w:szCs w:val="21"/>
              </w:rPr>
              <w:t>申赎确认日</w:t>
            </w:r>
          </w:p>
        </w:tc>
        <w:tc>
          <w:tcPr>
            <w:tcW w:w="6519" w:type="dxa"/>
            <w:vAlign w:val="center"/>
          </w:tcPr>
          <w:p w14:paraId="2285A64E">
            <w:pPr>
              <w:spacing w:line="276" w:lineRule="auto"/>
              <w:rPr>
                <w:rFonts w:ascii="宋体" w:hAnsi="宋体" w:cstheme="minorBidi"/>
                <w:b/>
                <w:bCs/>
                <w:szCs w:val="21"/>
              </w:rPr>
            </w:pPr>
            <w:r>
              <w:rPr>
                <w:rFonts w:hint="eastAsia" w:ascii="宋体" w:hAnsi="宋体" w:cstheme="minorBidi"/>
                <w:b/>
                <w:bCs/>
                <w:szCs w:val="21"/>
              </w:rPr>
              <w:t>投资者可在产品成立后的每个自然日</w:t>
            </w:r>
            <w:r>
              <w:rPr>
                <w:rFonts w:ascii="宋体" w:hAnsi="宋体" w:cstheme="minorBidi"/>
                <w:b/>
                <w:bCs/>
                <w:szCs w:val="21"/>
              </w:rPr>
              <w:t>0:00</w:t>
            </w:r>
            <w:r>
              <w:rPr>
                <w:rFonts w:hint="eastAsia" w:ascii="宋体" w:hAnsi="宋体" w:cstheme="minorBidi"/>
                <w:b/>
                <w:bCs/>
                <w:szCs w:val="21"/>
              </w:rPr>
              <w:t>至</w:t>
            </w:r>
            <w:r>
              <w:rPr>
                <w:rFonts w:ascii="宋体" w:hAnsi="宋体" w:cstheme="minorBidi"/>
                <w:b/>
                <w:bCs/>
                <w:szCs w:val="21"/>
              </w:rPr>
              <w:t>24:00</w:t>
            </w:r>
            <w:bookmarkStart w:id="6" w:name="_Hlk155340891"/>
            <w:r>
              <w:rPr>
                <w:rFonts w:hint="eastAsia" w:ascii="宋体" w:hAnsi="宋体" w:cstheme="minorBidi"/>
                <w:b/>
                <w:bCs/>
                <w:szCs w:val="21"/>
              </w:rPr>
              <w:t>提出申购和赎回申请</w:t>
            </w:r>
            <w:bookmarkEnd w:id="6"/>
            <w:r>
              <w:rPr>
                <w:rFonts w:hint="eastAsia" w:ascii="宋体" w:hAnsi="宋体" w:cstheme="minorBidi"/>
                <w:b/>
                <w:bCs/>
                <w:szCs w:val="21"/>
              </w:rPr>
              <w:t>（即</w:t>
            </w:r>
            <w:r>
              <w:rPr>
                <w:rFonts w:ascii="宋体" w:hAnsi="宋体" w:cstheme="minorBidi"/>
                <w:b/>
                <w:bCs/>
                <w:szCs w:val="21"/>
              </w:rPr>
              <w:t>7</w:t>
            </w:r>
            <w:r>
              <w:rPr>
                <w:rFonts w:hint="eastAsia" w:ascii="宋体" w:hAnsi="宋体" w:cstheme="minorBidi"/>
                <w:b/>
                <w:bCs/>
                <w:szCs w:val="21"/>
              </w:rPr>
              <w:t>×</w:t>
            </w:r>
            <w:r>
              <w:rPr>
                <w:rFonts w:ascii="宋体" w:hAnsi="宋体" w:cstheme="minorBidi"/>
                <w:b/>
                <w:bCs/>
                <w:szCs w:val="21"/>
              </w:rPr>
              <w:t>24</w:t>
            </w:r>
            <w:r>
              <w:rPr>
                <w:rFonts w:hint="eastAsia" w:ascii="宋体" w:hAnsi="宋体" w:cstheme="minorBidi"/>
                <w:b/>
                <w:bCs/>
                <w:szCs w:val="21"/>
              </w:rPr>
              <w:t>小时可提出申购和赎回申请）。</w:t>
            </w:r>
          </w:p>
          <w:p w14:paraId="21C23E11">
            <w:pPr>
              <w:spacing w:line="276" w:lineRule="auto"/>
              <w:rPr>
                <w:rFonts w:ascii="宋体" w:hAnsi="宋体" w:cstheme="minorBidi"/>
                <w:b/>
                <w:bCs/>
                <w:sz w:val="11"/>
                <w:szCs w:val="11"/>
              </w:rPr>
            </w:pPr>
            <w:r>
              <w:rPr>
                <w:rFonts w:hint="eastAsia" w:ascii="宋体" w:hAnsi="宋体" w:cstheme="minorBidi"/>
                <w:b/>
                <w:bCs/>
                <w:szCs w:val="21"/>
              </w:rPr>
              <w:t>开放日申购</w:t>
            </w:r>
            <w:r>
              <w:rPr>
                <w:rFonts w:ascii="宋体" w:hAnsi="宋体" w:cstheme="minorBidi"/>
                <w:b/>
                <w:bCs/>
                <w:szCs w:val="21"/>
              </w:rPr>
              <w:t>/</w:t>
            </w:r>
            <w:r>
              <w:rPr>
                <w:rFonts w:hint="eastAsia" w:ascii="宋体" w:hAnsi="宋体" w:cstheme="minorBidi"/>
                <w:b/>
                <w:bCs/>
                <w:szCs w:val="21"/>
              </w:rPr>
              <w:t>赎回：开放日（</w:t>
            </w:r>
            <w:r>
              <w:rPr>
                <w:rFonts w:ascii="宋体" w:hAnsi="宋体" w:cstheme="minorBidi"/>
                <w:b/>
                <w:bCs/>
                <w:szCs w:val="21"/>
              </w:rPr>
              <w:t>T</w:t>
            </w:r>
            <w:r>
              <w:rPr>
                <w:rFonts w:hint="eastAsia" w:ascii="宋体" w:hAnsi="宋体" w:cstheme="minorBidi"/>
                <w:b/>
                <w:bCs/>
                <w:szCs w:val="21"/>
              </w:rPr>
              <w:t>日）</w:t>
            </w:r>
            <w:bookmarkStart w:id="7" w:name="_Hlk154651921"/>
            <w:r>
              <w:rPr>
                <w:rFonts w:ascii="宋体" w:hAnsi="宋体"/>
                <w:b/>
                <w:bCs/>
                <w:szCs w:val="21"/>
              </w:rPr>
              <w:t>00:00-1</w:t>
            </w:r>
            <w:r>
              <w:rPr>
                <w:rFonts w:hint="eastAsia" w:ascii="宋体" w:hAnsi="宋体"/>
                <w:b/>
                <w:bCs/>
                <w:szCs w:val="21"/>
              </w:rPr>
              <w:t>5</w:t>
            </w:r>
            <w:r>
              <w:rPr>
                <w:rFonts w:ascii="宋体" w:hAnsi="宋体"/>
                <w:b/>
                <w:bCs/>
                <w:szCs w:val="21"/>
              </w:rPr>
              <w:t>:</w:t>
            </w:r>
            <w:r>
              <w:rPr>
                <w:rFonts w:hint="eastAsia" w:ascii="宋体" w:hAnsi="宋体"/>
                <w:b/>
                <w:bCs/>
                <w:szCs w:val="21"/>
              </w:rPr>
              <w:t>3</w:t>
            </w:r>
            <w:r>
              <w:rPr>
                <w:rFonts w:ascii="宋体" w:hAnsi="宋体"/>
                <w:b/>
                <w:bCs/>
                <w:szCs w:val="21"/>
              </w:rPr>
              <w:t>0</w:t>
            </w:r>
            <w:bookmarkEnd w:id="7"/>
            <w:r>
              <w:rPr>
                <w:rFonts w:hint="eastAsia" w:ascii="宋体" w:hAnsi="宋体" w:cstheme="minorBidi"/>
                <w:b/>
                <w:bCs/>
                <w:szCs w:val="21"/>
              </w:rPr>
              <w:t>提出的申购</w:t>
            </w:r>
            <w:r>
              <w:rPr>
                <w:rFonts w:ascii="宋体" w:hAnsi="宋体" w:cstheme="minorBidi"/>
                <w:b/>
                <w:bCs/>
                <w:szCs w:val="21"/>
              </w:rPr>
              <w:t>/</w:t>
            </w:r>
            <w:r>
              <w:rPr>
                <w:rFonts w:hint="eastAsia" w:ascii="宋体" w:hAnsi="宋体" w:cstheme="minorBidi"/>
                <w:b/>
                <w:bCs/>
                <w:szCs w:val="21"/>
              </w:rPr>
              <w:t>赎回申请，在开放日后第</w:t>
            </w:r>
            <w:r>
              <w:rPr>
                <w:rFonts w:ascii="宋体" w:hAnsi="宋体" w:cstheme="minorBidi"/>
                <w:b/>
                <w:bCs/>
                <w:szCs w:val="21"/>
              </w:rPr>
              <w:t>1</w:t>
            </w:r>
            <w:r>
              <w:rPr>
                <w:rFonts w:hint="eastAsia" w:ascii="宋体" w:hAnsi="宋体" w:cstheme="minorBidi"/>
                <w:b/>
                <w:bCs/>
                <w:szCs w:val="21"/>
              </w:rPr>
              <w:t>个交易日（</w:t>
            </w:r>
            <w:r>
              <w:rPr>
                <w:rFonts w:ascii="宋体" w:hAnsi="宋体" w:cstheme="minorBidi"/>
                <w:b/>
                <w:bCs/>
                <w:szCs w:val="21"/>
              </w:rPr>
              <w:t>T+1</w:t>
            </w:r>
            <w:r>
              <w:rPr>
                <w:rFonts w:hint="eastAsia" w:ascii="宋体" w:hAnsi="宋体" w:cstheme="minorBidi"/>
                <w:b/>
                <w:bCs/>
                <w:szCs w:val="21"/>
              </w:rPr>
              <w:t>日）进行确认。</w:t>
            </w:r>
          </w:p>
          <w:p w14:paraId="781AC840">
            <w:pPr>
              <w:spacing w:line="276" w:lineRule="auto"/>
              <w:rPr>
                <w:rFonts w:ascii="宋体" w:hAnsi="宋体" w:cstheme="minorBidi"/>
                <w:b/>
                <w:bCs/>
                <w:szCs w:val="21"/>
              </w:rPr>
            </w:pPr>
            <w:r>
              <w:rPr>
                <w:rFonts w:hint="eastAsia" w:ascii="宋体" w:hAnsi="宋体" w:cstheme="minorBidi"/>
                <w:b/>
                <w:bCs/>
                <w:szCs w:val="21"/>
              </w:rPr>
              <w:t>开放日（</w:t>
            </w:r>
            <w:r>
              <w:rPr>
                <w:rFonts w:ascii="宋体" w:hAnsi="宋体" w:cstheme="minorBidi"/>
                <w:b/>
                <w:bCs/>
                <w:szCs w:val="21"/>
              </w:rPr>
              <w:t>T</w:t>
            </w:r>
            <w:r>
              <w:rPr>
                <w:rFonts w:hint="eastAsia" w:ascii="宋体" w:hAnsi="宋体" w:cstheme="minorBidi"/>
                <w:b/>
                <w:bCs/>
                <w:szCs w:val="21"/>
              </w:rPr>
              <w:t>日）</w:t>
            </w:r>
            <w:r>
              <w:rPr>
                <w:rFonts w:hint="eastAsia" w:ascii="宋体" w:hAnsi="宋体"/>
                <w:b/>
                <w:bCs/>
                <w:szCs w:val="21"/>
              </w:rPr>
              <w:t>15:30</w:t>
            </w:r>
            <w:r>
              <w:rPr>
                <w:rFonts w:ascii="宋体" w:hAnsi="宋体"/>
                <w:b/>
                <w:bCs/>
                <w:szCs w:val="21"/>
              </w:rPr>
              <w:t>-24:00</w:t>
            </w:r>
            <w:r>
              <w:rPr>
                <w:rFonts w:hint="eastAsia" w:ascii="宋体" w:hAnsi="宋体" w:cstheme="minorBidi"/>
                <w:b/>
                <w:bCs/>
                <w:szCs w:val="21"/>
              </w:rPr>
              <w:t>提出的申购</w:t>
            </w:r>
            <w:r>
              <w:rPr>
                <w:rFonts w:ascii="宋体" w:hAnsi="宋体" w:cstheme="minorBidi"/>
                <w:b/>
                <w:bCs/>
                <w:szCs w:val="21"/>
              </w:rPr>
              <w:t>/</w:t>
            </w:r>
            <w:r>
              <w:rPr>
                <w:rFonts w:hint="eastAsia" w:ascii="宋体" w:hAnsi="宋体" w:cstheme="minorBidi"/>
                <w:b/>
                <w:bCs/>
                <w:szCs w:val="21"/>
              </w:rPr>
              <w:t>赎回申请，在开放日后第</w:t>
            </w:r>
            <w:r>
              <w:rPr>
                <w:rFonts w:ascii="宋体" w:hAnsi="宋体" w:cstheme="minorBidi"/>
                <w:b/>
                <w:bCs/>
                <w:szCs w:val="21"/>
              </w:rPr>
              <w:t>2</w:t>
            </w:r>
            <w:r>
              <w:rPr>
                <w:rFonts w:hint="eastAsia" w:ascii="宋体" w:hAnsi="宋体" w:cstheme="minorBidi"/>
                <w:b/>
                <w:bCs/>
                <w:szCs w:val="21"/>
              </w:rPr>
              <w:t>个交易日（</w:t>
            </w:r>
            <w:r>
              <w:rPr>
                <w:rFonts w:ascii="宋体" w:hAnsi="宋体" w:cstheme="minorBidi"/>
                <w:b/>
                <w:bCs/>
                <w:szCs w:val="21"/>
              </w:rPr>
              <w:t>T+2</w:t>
            </w:r>
            <w:r>
              <w:rPr>
                <w:rFonts w:hint="eastAsia" w:ascii="宋体" w:hAnsi="宋体" w:cstheme="minorBidi"/>
                <w:b/>
                <w:bCs/>
                <w:szCs w:val="21"/>
              </w:rPr>
              <w:t>日）进行确认。</w:t>
            </w:r>
          </w:p>
          <w:p w14:paraId="04AE2FE6">
            <w:pPr>
              <w:spacing w:line="276" w:lineRule="auto"/>
              <w:rPr>
                <w:rFonts w:ascii="Times New Roman" w:hAnsi="Times New Roman" w:cstheme="minorBidi"/>
                <w:szCs w:val="21"/>
              </w:rPr>
            </w:pPr>
            <w:r>
              <w:rPr>
                <w:rFonts w:hint="eastAsia" w:ascii="宋体" w:hAnsi="宋体" w:cstheme="minorBidi"/>
                <w:b/>
                <w:bCs/>
                <w:szCs w:val="21"/>
              </w:rPr>
              <w:t>非开放日申购</w:t>
            </w:r>
            <w:r>
              <w:rPr>
                <w:rFonts w:ascii="宋体" w:hAnsi="宋体" w:cstheme="minorBidi"/>
                <w:b/>
                <w:bCs/>
                <w:szCs w:val="21"/>
              </w:rPr>
              <w:t>/</w:t>
            </w:r>
            <w:r>
              <w:rPr>
                <w:rFonts w:hint="eastAsia" w:ascii="宋体" w:hAnsi="宋体" w:cstheme="minorBidi"/>
                <w:b/>
                <w:bCs/>
                <w:szCs w:val="21"/>
              </w:rPr>
              <w:t>赎回：非开放日提出的申购</w:t>
            </w:r>
            <w:r>
              <w:rPr>
                <w:rFonts w:ascii="宋体" w:hAnsi="宋体" w:cstheme="minorBidi"/>
                <w:b/>
                <w:bCs/>
                <w:szCs w:val="21"/>
              </w:rPr>
              <w:t>/</w:t>
            </w:r>
            <w:r>
              <w:rPr>
                <w:rFonts w:hint="eastAsia" w:ascii="宋体" w:hAnsi="宋体" w:cstheme="minorBidi"/>
                <w:b/>
                <w:bCs/>
                <w:szCs w:val="21"/>
              </w:rPr>
              <w:t>赎回申请，等同在下一个开放日（</w:t>
            </w:r>
            <w:r>
              <w:rPr>
                <w:rFonts w:ascii="宋体" w:hAnsi="宋体" w:cstheme="minorBidi"/>
                <w:b/>
                <w:bCs/>
                <w:szCs w:val="21"/>
              </w:rPr>
              <w:t>T</w:t>
            </w:r>
            <w:r>
              <w:rPr>
                <w:rFonts w:hint="eastAsia" w:ascii="宋体" w:hAnsi="宋体" w:cstheme="minorBidi"/>
                <w:b/>
                <w:bCs/>
                <w:szCs w:val="21"/>
              </w:rPr>
              <w:t>日</w:t>
            </w:r>
            <w:bookmarkStart w:id="8" w:name="_Hlk154408103"/>
            <w:r>
              <w:rPr>
                <w:rFonts w:hint="eastAsia" w:ascii="宋体" w:hAnsi="宋体" w:cstheme="minorBidi"/>
                <w:b/>
                <w:bCs/>
                <w:szCs w:val="21"/>
              </w:rPr>
              <w:t>）</w:t>
            </w:r>
            <w:r>
              <w:rPr>
                <w:rFonts w:ascii="宋体" w:hAnsi="宋体"/>
                <w:b/>
                <w:bCs/>
                <w:szCs w:val="21"/>
              </w:rPr>
              <w:t>00:00-</w:t>
            </w:r>
            <w:bookmarkEnd w:id="8"/>
            <w:r>
              <w:rPr>
                <w:rFonts w:hint="eastAsia" w:ascii="宋体" w:hAnsi="宋体"/>
                <w:b/>
                <w:bCs/>
                <w:szCs w:val="21"/>
              </w:rPr>
              <w:t>15:30</w:t>
            </w:r>
            <w:r>
              <w:rPr>
                <w:rFonts w:hint="eastAsia" w:ascii="宋体" w:hAnsi="宋体" w:cstheme="minorBidi"/>
                <w:b/>
                <w:bCs/>
                <w:szCs w:val="21"/>
              </w:rPr>
              <w:t>的申购</w:t>
            </w:r>
            <w:r>
              <w:rPr>
                <w:rFonts w:ascii="宋体" w:hAnsi="宋体" w:cstheme="minorBidi"/>
                <w:b/>
                <w:bCs/>
                <w:szCs w:val="21"/>
              </w:rPr>
              <w:t>/</w:t>
            </w:r>
            <w:r>
              <w:rPr>
                <w:rFonts w:hint="eastAsia" w:ascii="宋体" w:hAnsi="宋体" w:cstheme="minorBidi"/>
                <w:b/>
                <w:bCs/>
                <w:szCs w:val="21"/>
              </w:rPr>
              <w:t>赎回申请，在开放日（</w:t>
            </w:r>
            <w:r>
              <w:rPr>
                <w:rFonts w:ascii="宋体" w:hAnsi="宋体" w:cstheme="minorBidi"/>
                <w:b/>
                <w:bCs/>
                <w:szCs w:val="21"/>
              </w:rPr>
              <w:t>T</w:t>
            </w:r>
            <w:r>
              <w:rPr>
                <w:rFonts w:hint="eastAsia" w:ascii="宋体" w:hAnsi="宋体" w:cstheme="minorBidi"/>
                <w:b/>
                <w:bCs/>
                <w:szCs w:val="21"/>
              </w:rPr>
              <w:t>日）后第</w:t>
            </w:r>
            <w:r>
              <w:rPr>
                <w:rFonts w:ascii="宋体" w:hAnsi="宋体" w:cstheme="minorBidi"/>
                <w:b/>
                <w:bCs/>
                <w:szCs w:val="21"/>
              </w:rPr>
              <w:t>1</w:t>
            </w:r>
            <w:r>
              <w:rPr>
                <w:rFonts w:hint="eastAsia" w:ascii="宋体" w:hAnsi="宋体" w:cstheme="minorBidi"/>
                <w:b/>
                <w:bCs/>
                <w:szCs w:val="21"/>
              </w:rPr>
              <w:t>个交易日（</w:t>
            </w:r>
            <w:r>
              <w:rPr>
                <w:rFonts w:ascii="宋体" w:hAnsi="宋体" w:cstheme="minorBidi"/>
                <w:b/>
                <w:bCs/>
                <w:szCs w:val="21"/>
              </w:rPr>
              <w:t>T+1</w:t>
            </w:r>
            <w:r>
              <w:rPr>
                <w:rFonts w:hint="eastAsia" w:ascii="宋体" w:hAnsi="宋体" w:cstheme="minorBidi"/>
                <w:b/>
                <w:bCs/>
                <w:szCs w:val="21"/>
              </w:rPr>
              <w:t>日）进行确认。</w:t>
            </w:r>
          </w:p>
          <w:p w14:paraId="3A8F4D58">
            <w:pPr>
              <w:spacing w:line="276" w:lineRule="auto"/>
              <w:rPr>
                <w:rFonts w:ascii="Times New Roman" w:hAnsi="Times New Roman" w:cstheme="minorBidi"/>
                <w:szCs w:val="21"/>
              </w:rPr>
            </w:pPr>
            <w:r>
              <w:rPr>
                <w:rFonts w:hint="eastAsia" w:ascii="Times New Roman" w:hAnsi="Times New Roman"/>
                <w:bCs/>
                <w:szCs w:val="21"/>
              </w:rPr>
              <w:t>若本产品通过代理销售机构销售，代理销售机构实际受理时间可能与理财产品说明书不一致，具体以代理销售机构通知为准。</w:t>
            </w:r>
          </w:p>
          <w:p w14:paraId="747006EC">
            <w:pPr>
              <w:spacing w:line="276" w:lineRule="auto"/>
              <w:rPr>
                <w:rFonts w:ascii="Times New Roman" w:hAnsi="Times New Roman"/>
                <w:bCs/>
                <w:szCs w:val="21"/>
              </w:rPr>
            </w:pPr>
            <w:r>
              <w:rPr>
                <w:rFonts w:hint="eastAsia" w:ascii="Times New Roman" w:hAnsi="Times New Roman" w:cstheme="minorBidi"/>
                <w:szCs w:val="21"/>
              </w:rPr>
              <w:t>该产品按照“金额申购、份额赎回”的原则以申赎确认日上</w:t>
            </w:r>
            <w:r>
              <w:rPr>
                <w:rFonts w:ascii="Times New Roman" w:hAnsi="Times New Roman" w:cstheme="minorBidi"/>
                <w:szCs w:val="21"/>
              </w:rPr>
              <w:t>1</w:t>
            </w:r>
            <w:r>
              <w:rPr>
                <w:rFonts w:hint="eastAsia" w:ascii="Times New Roman" w:hAnsi="Times New Roman" w:cstheme="minorBidi"/>
                <w:szCs w:val="21"/>
              </w:rPr>
              <w:t>个交易日的单位净值计算申购份额、赎回金额。若投资者多次购买本产品，则赎回时份额采取“先进先出”的原则进行计算。</w:t>
            </w:r>
          </w:p>
        </w:tc>
      </w:tr>
      <w:tr w14:paraId="52B8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61" w:type="dxa"/>
            <w:vAlign w:val="center"/>
          </w:tcPr>
          <w:p w14:paraId="405A7DA2">
            <w:pPr>
              <w:spacing w:line="276" w:lineRule="auto"/>
              <w:jc w:val="center"/>
              <w:rPr>
                <w:rFonts w:ascii="Times New Roman" w:hAnsi="Times New Roman"/>
                <w:szCs w:val="21"/>
              </w:rPr>
            </w:pPr>
            <w:r>
              <w:rPr>
                <w:rFonts w:hint="eastAsia" w:ascii="Times New Roman" w:hAnsi="Times New Roman" w:cs="宋体"/>
                <w:szCs w:val="21"/>
              </w:rPr>
              <w:t>资金到账日</w:t>
            </w:r>
          </w:p>
        </w:tc>
        <w:tc>
          <w:tcPr>
            <w:tcW w:w="6519" w:type="dxa"/>
          </w:tcPr>
          <w:p w14:paraId="5FEC4CCA">
            <w:pPr>
              <w:pStyle w:val="4"/>
              <w:spacing w:line="276" w:lineRule="auto"/>
              <w:rPr>
                <w:rFonts w:ascii="Times New Roman" w:hAnsi="Times New Roman" w:cs="宋体"/>
                <w:szCs w:val="21"/>
              </w:rPr>
            </w:pPr>
            <w:r>
              <w:rPr>
                <w:rFonts w:hint="eastAsia" w:ascii="Times New Roman" w:hAnsi="Times New Roman" w:cs="宋体"/>
                <w:szCs w:val="21"/>
              </w:rPr>
              <w:t>申赎确认日或理财产品终止日（含提前终止日）后2个交易日内，若本产品通过代理销售机构渠道销售的，具体到账时间以投资者与代理销售机构的约定为准。</w:t>
            </w:r>
          </w:p>
        </w:tc>
      </w:tr>
      <w:tr w14:paraId="6C58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1" w:type="dxa"/>
            <w:vAlign w:val="center"/>
          </w:tcPr>
          <w:p w14:paraId="61A0E764">
            <w:pPr>
              <w:spacing w:line="276" w:lineRule="auto"/>
              <w:jc w:val="center"/>
              <w:rPr>
                <w:rFonts w:ascii="Times New Roman" w:hAnsi="Times New Roman"/>
                <w:bCs/>
                <w:szCs w:val="21"/>
              </w:rPr>
            </w:pPr>
            <w:r>
              <w:rPr>
                <w:rFonts w:hint="eastAsia" w:ascii="Times New Roman" w:hAnsi="Times New Roman"/>
                <w:bCs/>
                <w:szCs w:val="21"/>
              </w:rPr>
              <w:t>认购</w:t>
            </w:r>
          </w:p>
        </w:tc>
        <w:tc>
          <w:tcPr>
            <w:tcW w:w="6519" w:type="dxa"/>
          </w:tcPr>
          <w:p w14:paraId="02439BE1">
            <w:pPr>
              <w:spacing w:line="276" w:lineRule="auto"/>
              <w:ind w:right="-107" w:rightChars="-51"/>
              <w:rPr>
                <w:rFonts w:ascii="Times New Roman" w:hAnsi="Times New Roman"/>
                <w:bCs/>
                <w:szCs w:val="21"/>
              </w:rPr>
            </w:pPr>
            <w:r>
              <w:rPr>
                <w:rFonts w:hint="eastAsia" w:ascii="Times New Roman" w:hAnsi="Times New Roman"/>
                <w:bCs/>
                <w:szCs w:val="21"/>
              </w:rPr>
              <w:t>认购资金将于认购申请当日实时冻结或通过相关支付渠道（如有）划转，具体以销售（代理销售）机构实际处理为准。</w:t>
            </w:r>
          </w:p>
          <w:p w14:paraId="1B97E2E9">
            <w:pPr>
              <w:spacing w:line="276" w:lineRule="auto"/>
              <w:ind w:right="-107" w:rightChars="-51"/>
              <w:rPr>
                <w:rFonts w:ascii="Times New Roman" w:hAnsi="Times New Roman"/>
                <w:bCs/>
                <w:szCs w:val="21"/>
              </w:rPr>
            </w:pPr>
            <w:r>
              <w:rPr>
                <w:rFonts w:hint="eastAsia" w:ascii="Times New Roman" w:hAnsi="Times New Roman"/>
                <w:bCs/>
                <w:szCs w:val="21"/>
              </w:rPr>
              <w:t>认购交易将于产品成立日进行确认，并按照产品初始单位净值折算认购份额。</w:t>
            </w:r>
          </w:p>
          <w:p w14:paraId="066C5BDF">
            <w:pPr>
              <w:spacing w:line="276" w:lineRule="auto"/>
              <w:ind w:right="-107" w:rightChars="-51"/>
              <w:rPr>
                <w:rFonts w:ascii="Times New Roman" w:hAnsi="Times New Roman"/>
                <w:bCs/>
                <w:szCs w:val="21"/>
              </w:rPr>
            </w:pPr>
            <w:r>
              <w:rPr>
                <w:rFonts w:hint="eastAsia" w:ascii="Times New Roman" w:hAnsi="Times New Roman"/>
                <w:b/>
                <w:szCs w:val="21"/>
              </w:rPr>
              <w:t>如新增认购使得单一投资者持有份额比例超过</w:t>
            </w:r>
            <w:r>
              <w:rPr>
                <w:rFonts w:ascii="Times New Roman" w:hAnsi="Times New Roman"/>
                <w:b/>
                <w:szCs w:val="21"/>
              </w:rPr>
              <w:t>50</w:t>
            </w:r>
            <w:r>
              <w:rPr>
                <w:rFonts w:hint="eastAsia" w:ascii="Times New Roman" w:hAnsi="Times New Roman"/>
                <w:b/>
                <w:szCs w:val="21"/>
              </w:rPr>
              <w:t>％，产品管理人将不再接受该投资者超出部分的认购申请。</w:t>
            </w:r>
            <w:r>
              <w:rPr>
                <w:rFonts w:hint="eastAsia" w:ascii="Times New Roman" w:hAnsi="Times New Roman"/>
                <w:bCs/>
                <w:szCs w:val="21"/>
              </w:rPr>
              <w:t>非因产品管理人主观因素导致突破前款规定比例限制的，在单一投资者持有比例降至</w:t>
            </w:r>
            <w:r>
              <w:rPr>
                <w:rFonts w:ascii="Times New Roman" w:hAnsi="Times New Roman"/>
                <w:bCs/>
                <w:szCs w:val="21"/>
              </w:rPr>
              <w:t>50</w:t>
            </w:r>
            <w:r>
              <w:rPr>
                <w:rFonts w:hint="eastAsia" w:ascii="Times New Roman" w:hAnsi="Times New Roman"/>
                <w:bCs/>
                <w:szCs w:val="21"/>
              </w:rPr>
              <w:t>％以下之前，产品管理人将不再接受该投资者对该理财产品的认购申请。</w:t>
            </w:r>
          </w:p>
        </w:tc>
      </w:tr>
      <w:tr w14:paraId="1DF1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0D145619">
            <w:pPr>
              <w:spacing w:line="276" w:lineRule="auto"/>
              <w:jc w:val="center"/>
              <w:rPr>
                <w:rFonts w:ascii="Times New Roman" w:hAnsi="Times New Roman"/>
                <w:bCs/>
                <w:szCs w:val="21"/>
              </w:rPr>
            </w:pPr>
            <w:r>
              <w:rPr>
                <w:rFonts w:hint="eastAsia" w:ascii="Times New Roman" w:hAnsi="Times New Roman"/>
                <w:bCs/>
                <w:szCs w:val="21"/>
              </w:rPr>
              <w:t>申购</w:t>
            </w:r>
          </w:p>
        </w:tc>
        <w:tc>
          <w:tcPr>
            <w:tcW w:w="6519" w:type="dxa"/>
          </w:tcPr>
          <w:p w14:paraId="1187092D">
            <w:pPr>
              <w:spacing w:line="276" w:lineRule="auto"/>
              <w:ind w:right="-107" w:rightChars="-51"/>
              <w:rPr>
                <w:rFonts w:ascii="Times New Roman" w:hAnsi="Times New Roman"/>
                <w:bCs/>
                <w:szCs w:val="21"/>
              </w:rPr>
            </w:pPr>
            <w:r>
              <w:rPr>
                <w:rFonts w:hint="eastAsia" w:ascii="Times New Roman" w:hAnsi="Times New Roman"/>
                <w:bCs/>
                <w:szCs w:val="21"/>
              </w:rPr>
              <w:t>申购资金将于申购申请当日实时冻结或通过相关支付渠道（如有）划转，具体以销售（代理销售）机构实际处理为准。</w:t>
            </w:r>
          </w:p>
          <w:p w14:paraId="7A5582E9">
            <w:pPr>
              <w:spacing w:line="276" w:lineRule="auto"/>
              <w:ind w:right="-107" w:rightChars="-51"/>
              <w:rPr>
                <w:rFonts w:ascii="Times New Roman" w:hAnsi="Times New Roman"/>
                <w:bCs/>
                <w:szCs w:val="21"/>
              </w:rPr>
            </w:pPr>
            <w:r>
              <w:rPr>
                <w:rFonts w:hint="eastAsia" w:ascii="Times New Roman" w:hAnsi="Times New Roman"/>
                <w:bCs/>
                <w:szCs w:val="21"/>
              </w:rPr>
              <w:t>暂停申购：</w:t>
            </w:r>
            <w:r>
              <w:rPr>
                <w:rFonts w:hint="eastAsia" w:ascii="Times New Roman" w:hAnsi="Times New Roman"/>
                <w:szCs w:val="21"/>
              </w:rPr>
              <w:t>渝农商理财有限责任公司</w:t>
            </w:r>
            <w:r>
              <w:rPr>
                <w:rFonts w:ascii="Times New Roman" w:hAnsi="Times New Roman"/>
                <w:szCs w:val="21"/>
              </w:rPr>
              <w:t>有权根据理财产品运作情况暂停本产品申购请求</w:t>
            </w:r>
            <w:r>
              <w:rPr>
                <w:rFonts w:hint="eastAsia" w:ascii="Times New Roman" w:hAnsi="Times New Roman"/>
                <w:bCs/>
                <w:szCs w:val="21"/>
              </w:rPr>
              <w:t>（详细内容见以下“</w:t>
            </w:r>
            <w:r>
              <w:rPr>
                <w:rFonts w:hint="eastAsia" w:ascii="Times New Roman" w:hAnsi="Times New Roman"/>
                <w:b/>
                <w:szCs w:val="21"/>
              </w:rPr>
              <w:t>拒绝或暂停申购的情形、处理方式和程序</w:t>
            </w:r>
            <w:r>
              <w:rPr>
                <w:rFonts w:hint="eastAsia" w:ascii="Times New Roman" w:hAnsi="Times New Roman"/>
                <w:bCs/>
                <w:szCs w:val="21"/>
              </w:rPr>
              <w:t>”）。</w:t>
            </w:r>
          </w:p>
          <w:p w14:paraId="46301B70">
            <w:pPr>
              <w:spacing w:line="276" w:lineRule="auto"/>
              <w:rPr>
                <w:rFonts w:ascii="Times New Roman" w:hAnsi="Times New Roman"/>
                <w:bCs/>
                <w:szCs w:val="21"/>
              </w:rPr>
            </w:pPr>
            <w:r>
              <w:rPr>
                <w:rFonts w:hint="eastAsia" w:ascii="Times New Roman" w:hAnsi="Times New Roman"/>
                <w:bCs/>
                <w:szCs w:val="21"/>
              </w:rPr>
              <w:t>理财产品开放期内任一开放日，若本理财产品总规模达到理财产品上限，</w:t>
            </w:r>
            <w:r>
              <w:rPr>
                <w:rFonts w:hint="eastAsia" w:ascii="Times New Roman" w:hAnsi="Times New Roman"/>
                <w:szCs w:val="21"/>
              </w:rPr>
              <w:t>渝农商理财有限责任公司</w:t>
            </w:r>
            <w:r>
              <w:rPr>
                <w:rFonts w:hint="eastAsia" w:ascii="Times New Roman" w:hAnsi="Times New Roman"/>
                <w:bCs/>
                <w:szCs w:val="21"/>
              </w:rPr>
              <w:t>有权拒绝超过本理财产品规模上限部分的申购申请。</w:t>
            </w:r>
          </w:p>
          <w:p w14:paraId="2DA3CA3D">
            <w:pPr>
              <w:spacing w:line="276" w:lineRule="auto"/>
              <w:rPr>
                <w:rFonts w:ascii="Times New Roman" w:hAnsi="Times New Roman"/>
                <w:bCs/>
                <w:szCs w:val="21"/>
              </w:rPr>
            </w:pPr>
            <w:r>
              <w:rPr>
                <w:rFonts w:hint="eastAsia" w:ascii="Times New Roman" w:hAnsi="Times New Roman"/>
                <w:b/>
                <w:szCs w:val="21"/>
              </w:rPr>
              <w:t>如新增申购使得单一投资者持有份额比例超过</w:t>
            </w:r>
            <w:r>
              <w:rPr>
                <w:rFonts w:ascii="Times New Roman" w:hAnsi="Times New Roman"/>
                <w:b/>
                <w:szCs w:val="21"/>
              </w:rPr>
              <w:t>50</w:t>
            </w:r>
            <w:r>
              <w:rPr>
                <w:rFonts w:hint="eastAsia" w:ascii="Times New Roman" w:hAnsi="Times New Roman"/>
                <w:b/>
                <w:szCs w:val="21"/>
              </w:rPr>
              <w:t>％，产品管理人将不再接受该投资者超出部分的申购申请。</w:t>
            </w:r>
            <w:r>
              <w:rPr>
                <w:rFonts w:hint="eastAsia" w:ascii="Times New Roman" w:hAnsi="Times New Roman"/>
                <w:bCs/>
                <w:szCs w:val="21"/>
              </w:rPr>
              <w:t>非因产品管理人主观因素导致突破前款规定比例限制的，在单一投资者持有比例降至</w:t>
            </w:r>
            <w:r>
              <w:rPr>
                <w:rFonts w:ascii="Times New Roman" w:hAnsi="Times New Roman"/>
                <w:bCs/>
                <w:szCs w:val="21"/>
              </w:rPr>
              <w:t>50</w:t>
            </w:r>
            <w:r>
              <w:rPr>
                <w:rFonts w:hint="eastAsia" w:ascii="Times New Roman" w:hAnsi="Times New Roman"/>
                <w:bCs/>
                <w:szCs w:val="21"/>
              </w:rPr>
              <w:t>％以下之前，产品管理人将不再接受该投资者对该理财产品的申购申请。</w:t>
            </w:r>
          </w:p>
        </w:tc>
      </w:tr>
      <w:tr w14:paraId="7B33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1" w:type="dxa"/>
            <w:vAlign w:val="center"/>
          </w:tcPr>
          <w:p w14:paraId="3531ECA8">
            <w:pPr>
              <w:spacing w:line="276" w:lineRule="auto"/>
              <w:jc w:val="center"/>
              <w:rPr>
                <w:rFonts w:ascii="Times New Roman" w:hAnsi="Times New Roman"/>
                <w:bCs/>
                <w:szCs w:val="21"/>
              </w:rPr>
            </w:pPr>
            <w:r>
              <w:rPr>
                <w:rFonts w:hint="eastAsia" w:ascii="Times New Roman" w:hAnsi="Times New Roman"/>
                <w:bCs/>
                <w:szCs w:val="21"/>
              </w:rPr>
              <w:t>赎回</w:t>
            </w:r>
          </w:p>
        </w:tc>
        <w:tc>
          <w:tcPr>
            <w:tcW w:w="6519" w:type="dxa"/>
          </w:tcPr>
          <w:p w14:paraId="663DD26C">
            <w:pPr>
              <w:pStyle w:val="29"/>
              <w:spacing w:line="276" w:lineRule="auto"/>
              <w:ind w:right="-107" w:rightChars="-51" w:firstLine="0" w:firstLineChars="0"/>
              <w:rPr>
                <w:rFonts w:ascii="Times New Roman" w:hAnsi="Times New Roman"/>
                <w:bCs/>
                <w:szCs w:val="21"/>
              </w:rPr>
            </w:pPr>
            <w:r>
              <w:rPr>
                <w:rFonts w:hint="eastAsia" w:ascii="Times New Roman" w:hAnsi="Times New Roman"/>
                <w:bCs/>
                <w:szCs w:val="21"/>
              </w:rPr>
              <w:t>暂停赎回：</w:t>
            </w:r>
            <w:r>
              <w:rPr>
                <w:rFonts w:hint="eastAsia" w:ascii="Times New Roman" w:hAnsi="Times New Roman"/>
                <w:szCs w:val="21"/>
              </w:rPr>
              <w:t>渝农商理财有限责任公司</w:t>
            </w:r>
            <w:r>
              <w:rPr>
                <w:rFonts w:ascii="Times New Roman" w:hAnsi="Times New Roman"/>
                <w:szCs w:val="21"/>
              </w:rPr>
              <w:t>有权根据理财产品运作情况暂停本产品</w:t>
            </w:r>
            <w:r>
              <w:rPr>
                <w:rFonts w:hint="eastAsia" w:ascii="Times New Roman" w:hAnsi="Times New Roman"/>
                <w:szCs w:val="21"/>
              </w:rPr>
              <w:t>赎回申请</w:t>
            </w:r>
            <w:r>
              <w:rPr>
                <w:rFonts w:hint="eastAsia" w:ascii="Times New Roman" w:hAnsi="Times New Roman"/>
                <w:bCs/>
                <w:szCs w:val="21"/>
              </w:rPr>
              <w:t>（详细内容见以下“</w:t>
            </w:r>
            <w:r>
              <w:rPr>
                <w:rFonts w:hint="eastAsia" w:ascii="Times New Roman" w:hAnsi="Times New Roman"/>
                <w:b/>
                <w:szCs w:val="21"/>
              </w:rPr>
              <w:t>暂停赎回或延缓支付赎回款项的情形、处理方式和程序”</w:t>
            </w:r>
            <w:r>
              <w:rPr>
                <w:rFonts w:hint="eastAsia" w:ascii="Times New Roman" w:hAnsi="Times New Roman"/>
                <w:bCs/>
                <w:szCs w:val="21"/>
              </w:rPr>
              <w:t>）。</w:t>
            </w:r>
          </w:p>
        </w:tc>
      </w:tr>
      <w:tr w14:paraId="1346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761" w:type="dxa"/>
            <w:vAlign w:val="center"/>
          </w:tcPr>
          <w:p w14:paraId="6151F091">
            <w:pPr>
              <w:spacing w:line="276" w:lineRule="auto"/>
              <w:jc w:val="center"/>
              <w:rPr>
                <w:rFonts w:ascii="Times New Roman" w:hAnsi="Times New Roman"/>
                <w:bCs/>
                <w:szCs w:val="21"/>
              </w:rPr>
            </w:pPr>
            <w:r>
              <w:rPr>
                <w:rFonts w:hint="eastAsia" w:ascii="Times New Roman" w:hAnsi="Times New Roman"/>
                <w:bCs/>
                <w:szCs w:val="21"/>
              </w:rPr>
              <w:t>巨额赎回</w:t>
            </w:r>
          </w:p>
          <w:p w14:paraId="0BD69EE0">
            <w:pPr>
              <w:spacing w:line="276" w:lineRule="auto"/>
              <w:jc w:val="center"/>
              <w:rPr>
                <w:rFonts w:ascii="Times New Roman" w:hAnsi="Times New Roman"/>
                <w:bCs/>
                <w:szCs w:val="21"/>
              </w:rPr>
            </w:pPr>
          </w:p>
        </w:tc>
        <w:tc>
          <w:tcPr>
            <w:tcW w:w="6519" w:type="dxa"/>
          </w:tcPr>
          <w:p w14:paraId="08707B44">
            <w:pPr>
              <w:spacing w:line="276" w:lineRule="auto"/>
              <w:ind w:right="-107" w:rightChars="-51"/>
              <w:rPr>
                <w:rFonts w:ascii="Times New Roman" w:hAnsi="Times New Roman"/>
                <w:b/>
                <w:bCs/>
                <w:szCs w:val="21"/>
              </w:rPr>
            </w:pPr>
            <w:r>
              <w:rPr>
                <w:rFonts w:hint="eastAsia" w:ascii="Times New Roman" w:hAnsi="Times New Roman"/>
                <w:b/>
                <w:bCs/>
                <w:szCs w:val="21"/>
              </w:rPr>
              <w:t>出现巨额赎回时，渝农商理财有限责任公司可拒绝超出前一日终理财产品总份额10</w:t>
            </w:r>
            <w:r>
              <w:rPr>
                <w:rFonts w:ascii="Times New Roman" w:hAnsi="Times New Roman"/>
                <w:b/>
                <w:bCs/>
                <w:szCs w:val="21"/>
              </w:rPr>
              <w:t>%</w:t>
            </w:r>
            <w:r>
              <w:rPr>
                <w:rFonts w:hint="eastAsia" w:ascii="Times New Roman" w:hAnsi="Times New Roman"/>
                <w:b/>
                <w:bCs/>
                <w:szCs w:val="21"/>
              </w:rPr>
              <w:t>以外的赎回申请，并于申赎确认日后2个工作日内进行公告。对于接受赎回部分，按照正常赎回流程办理。</w:t>
            </w:r>
          </w:p>
          <w:p w14:paraId="390A7E6B">
            <w:pPr>
              <w:spacing w:line="276" w:lineRule="auto"/>
              <w:ind w:right="-107" w:rightChars="-51"/>
              <w:rPr>
                <w:rFonts w:ascii="Times New Roman" w:hAnsi="Times New Roman"/>
                <w:bCs/>
                <w:szCs w:val="21"/>
              </w:rPr>
            </w:pPr>
            <w:r>
              <w:rPr>
                <w:rFonts w:hint="eastAsia" w:ascii="Times New Roman" w:hAnsi="Times New Roman"/>
                <w:bCs/>
                <w:szCs w:val="21"/>
              </w:rPr>
              <w:t>如理财产品连续两个开放日出现巨额赎回情况，产品管理人有权在下一开放日暂停该理财产品的赎回申请。对于已经接受的赎回申请，产品管理人可以延缓支付赎回款项，但延缓期限不得超过20个工作日。</w:t>
            </w:r>
          </w:p>
        </w:tc>
      </w:tr>
      <w:tr w14:paraId="2AA9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46FF2E3">
            <w:pPr>
              <w:spacing w:line="276" w:lineRule="auto"/>
              <w:jc w:val="center"/>
              <w:rPr>
                <w:rFonts w:ascii="Times New Roman" w:hAnsi="Times New Roman"/>
                <w:bCs/>
                <w:szCs w:val="21"/>
              </w:rPr>
            </w:pPr>
            <w:r>
              <w:rPr>
                <w:rFonts w:hint="eastAsia" w:ascii="Times New Roman" w:hAnsi="Times New Roman"/>
                <w:bCs/>
                <w:szCs w:val="21"/>
              </w:rPr>
              <w:t>业绩比较基准</w:t>
            </w:r>
          </w:p>
        </w:tc>
        <w:tc>
          <w:tcPr>
            <w:tcW w:w="6519" w:type="dxa"/>
          </w:tcPr>
          <w:p w14:paraId="3CFE6141">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A份额业绩比较基准为2.0%-3.5%；</w:t>
            </w:r>
          </w:p>
          <w:p w14:paraId="626A6F1E">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B份额业绩比较基准为2.0%-3.5%；</w:t>
            </w:r>
          </w:p>
          <w:p w14:paraId="7CE22B82">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C份额业绩比较基准为2.0%-3.5%；</w:t>
            </w:r>
          </w:p>
          <w:p w14:paraId="47499E3C">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D份额业绩比较基准为2.0%-3.5%；</w:t>
            </w:r>
          </w:p>
          <w:p w14:paraId="0361C1B5">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E份额业绩比较基准为2.0%-3.5%；</w:t>
            </w:r>
          </w:p>
          <w:p w14:paraId="27F7BE0F">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F份额业绩比较基准为2.0%-3.5%；</w:t>
            </w:r>
          </w:p>
          <w:p w14:paraId="3E87B9DC">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G份额业绩比较基准为2.0%-3.5%；</w:t>
            </w:r>
          </w:p>
          <w:p w14:paraId="22008079">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H份额业绩比较基准为2.0%-3.5%;</w:t>
            </w:r>
          </w:p>
          <w:p w14:paraId="7A876D89">
            <w:pPr>
              <w:autoSpaceDE w:val="0"/>
              <w:autoSpaceDN w:val="0"/>
              <w:adjustRightInd w:val="0"/>
              <w:spacing w:line="276" w:lineRule="auto"/>
              <w:jc w:val="left"/>
              <w:rPr>
                <w:rFonts w:ascii="Times New Roman" w:hAnsi="Times New Roman"/>
                <w:bCs/>
                <w:szCs w:val="21"/>
              </w:rPr>
            </w:pPr>
            <w:r>
              <w:rPr>
                <w:rFonts w:ascii="Times New Roman" w:hAnsi="Times New Roman"/>
                <w:bCs/>
                <w:szCs w:val="21"/>
              </w:rPr>
              <w:t>I</w:t>
            </w:r>
            <w:r>
              <w:rPr>
                <w:rFonts w:hint="eastAsia" w:ascii="Times New Roman" w:hAnsi="Times New Roman"/>
                <w:bCs/>
                <w:szCs w:val="21"/>
              </w:rPr>
              <w:t>份额业绩比较基准为2.0%-3.5%。</w:t>
            </w:r>
          </w:p>
          <w:p w14:paraId="61D9EA44">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本产品业绩比较基准参考中债-新综合全价（1-3年）指数收益率（市值法）近一年历史数据、中国人民银行公布的三个月定期存款基准利率进行组合测算，并根据产品说明书约定投资范围内各类资产的收益率水平、投资比例、市场情况进行情景分析。（以上均为年化收益率）。</w:t>
            </w:r>
          </w:p>
          <w:p w14:paraId="3CED5CA9">
            <w:pPr>
              <w:autoSpaceDE w:val="0"/>
              <w:autoSpaceDN w:val="0"/>
              <w:adjustRightInd w:val="0"/>
              <w:spacing w:line="276" w:lineRule="auto"/>
              <w:jc w:val="left"/>
              <w:rPr>
                <w:rFonts w:ascii="Times New Roman" w:hAnsi="Times New Roman"/>
                <w:b/>
                <w:szCs w:val="21"/>
              </w:rPr>
            </w:pPr>
            <w:r>
              <w:rPr>
                <w:rFonts w:hint="eastAsia" w:ascii="Times New Roman" w:hAnsi="Times New Roman"/>
                <w:bCs/>
                <w:szCs w:val="21"/>
              </w:rPr>
              <w:t>本产品为净值型产品，其业绩表现将随市场波动，具有不确定性。</w:t>
            </w:r>
            <w:r>
              <w:rPr>
                <w:rFonts w:hint="eastAsia" w:ascii="Times New Roman" w:hAnsi="Times New Roman"/>
                <w:b/>
                <w:szCs w:val="21"/>
              </w:rPr>
              <w:t>本业绩比较基准仅作为参考，不具有法律约束力，不是预期收益率，不代表本产品的未来表现和实际收益，不构成对本产品的任何收益承诺。</w:t>
            </w:r>
          </w:p>
          <w:p w14:paraId="57A35C8B">
            <w:pPr>
              <w:autoSpaceDE w:val="0"/>
              <w:autoSpaceDN w:val="0"/>
              <w:adjustRightInd w:val="0"/>
              <w:spacing w:line="276" w:lineRule="auto"/>
              <w:jc w:val="left"/>
              <w:rPr>
                <w:rFonts w:ascii="Times New Roman" w:hAnsi="Times New Roman"/>
                <w:bCs/>
                <w:szCs w:val="21"/>
              </w:rPr>
            </w:pPr>
            <w:r>
              <w:rPr>
                <w:rFonts w:hint="eastAsia" w:ascii="Times New Roman" w:hAnsi="Times New Roman"/>
                <w:bCs/>
                <w:szCs w:val="21"/>
              </w:rPr>
              <w:t>在法律法规允许的情况下，产品管理人有权根据市场变动及产品运作情况调整业绩比较基准并进行信息披露。</w:t>
            </w:r>
          </w:p>
        </w:tc>
      </w:tr>
      <w:tr w14:paraId="5C47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40A66696">
            <w:pPr>
              <w:widowControl/>
              <w:spacing w:line="276" w:lineRule="auto"/>
              <w:jc w:val="center"/>
              <w:rPr>
                <w:rFonts w:ascii="Times New Roman" w:hAnsi="Times New Roman"/>
                <w:bCs/>
                <w:szCs w:val="21"/>
              </w:rPr>
            </w:pPr>
            <w:r>
              <w:rPr>
                <w:rFonts w:hint="eastAsia" w:ascii="Times New Roman" w:hAnsi="Times New Roman"/>
                <w:bCs/>
                <w:szCs w:val="21"/>
              </w:rPr>
              <w:t>初始单位净值</w:t>
            </w:r>
          </w:p>
        </w:tc>
        <w:tc>
          <w:tcPr>
            <w:tcW w:w="6519" w:type="dxa"/>
          </w:tcPr>
          <w:p w14:paraId="2AF0FBCF">
            <w:pPr>
              <w:spacing w:line="276" w:lineRule="auto"/>
              <w:rPr>
                <w:rFonts w:ascii="Times New Roman" w:hAnsi="Times New Roman"/>
                <w:bCs/>
                <w:szCs w:val="21"/>
              </w:rPr>
            </w:pPr>
            <w:r>
              <w:rPr>
                <w:rFonts w:hint="eastAsia" w:ascii="Times New Roman" w:hAnsi="Times New Roman"/>
                <w:bCs/>
                <w:szCs w:val="21"/>
              </w:rPr>
              <w:t>1.0000元/份</w:t>
            </w:r>
          </w:p>
        </w:tc>
      </w:tr>
      <w:tr w14:paraId="73E9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1A2626D7">
            <w:pPr>
              <w:widowControl/>
              <w:spacing w:line="276" w:lineRule="auto"/>
              <w:jc w:val="center"/>
              <w:rPr>
                <w:rFonts w:ascii="Times New Roman" w:hAnsi="Times New Roman"/>
                <w:b/>
                <w:szCs w:val="21"/>
              </w:rPr>
            </w:pPr>
            <w:r>
              <w:rPr>
                <w:rFonts w:hint="eastAsia" w:ascii="Times New Roman" w:hAnsi="Times New Roman"/>
                <w:b/>
                <w:szCs w:val="21"/>
              </w:rPr>
              <w:t>理财产品费用</w:t>
            </w:r>
          </w:p>
        </w:tc>
        <w:tc>
          <w:tcPr>
            <w:tcW w:w="6519" w:type="dxa"/>
            <w:vAlign w:val="center"/>
          </w:tcPr>
          <w:p w14:paraId="782D7CD6">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理财产品费用包含</w:t>
            </w:r>
            <w:r>
              <w:rPr>
                <w:rFonts w:ascii="Times New Roman" w:hAnsi="Times New Roman"/>
                <w:b/>
                <w:szCs w:val="21"/>
              </w:rPr>
              <w:t>销售服务费、</w:t>
            </w:r>
            <w:r>
              <w:rPr>
                <w:rFonts w:hint="eastAsia" w:ascii="Times New Roman" w:hAnsi="Times New Roman"/>
                <w:b/>
                <w:szCs w:val="21"/>
              </w:rPr>
              <w:t>固定管理费、托管费等相关费用，</w:t>
            </w:r>
            <w:r>
              <w:rPr>
                <w:rFonts w:ascii="Times New Roman" w:hAnsi="Times New Roman"/>
                <w:b/>
                <w:szCs w:val="21"/>
              </w:rPr>
              <w:t>各费用率均为年化数值</w:t>
            </w:r>
            <w:r>
              <w:rPr>
                <w:rFonts w:hint="eastAsia" w:ascii="Times New Roman" w:hAnsi="Times New Roman"/>
                <w:b/>
                <w:szCs w:val="21"/>
              </w:rPr>
              <w:t>。</w:t>
            </w:r>
          </w:p>
          <w:p w14:paraId="14AAFA4B">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1、销售服务费率：A份额为0.3%，B份额为0.3%，C份额为0.3%，D份额为0.3%，E份额为0.3%，F份额为0.3%，G份额为0.3%，H份额为0.3%，I份额为0.3%；</w:t>
            </w:r>
          </w:p>
          <w:p w14:paraId="5986B735">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2、固定管理费率：A份额为0.3%，B份额为0.3%，C份额为0.3%，D份额为0.3%，E份额为0.3%，F份额为0.3%，G份额为0.3%，H份额为0.3%</w:t>
            </w:r>
            <w:r>
              <w:rPr>
                <w:rFonts w:ascii="Times New Roman" w:hAnsi="Times New Roman"/>
                <w:b/>
                <w:szCs w:val="21"/>
              </w:rPr>
              <w:t>，</w:t>
            </w:r>
            <w:r>
              <w:rPr>
                <w:rFonts w:hint="eastAsia" w:ascii="Times New Roman" w:hAnsi="Times New Roman"/>
                <w:b/>
                <w:szCs w:val="21"/>
              </w:rPr>
              <w:t>I份额为0.3%；</w:t>
            </w:r>
          </w:p>
          <w:p w14:paraId="48A54091">
            <w:pPr>
              <w:autoSpaceDE w:val="0"/>
              <w:autoSpaceDN w:val="0"/>
              <w:adjustRightInd w:val="0"/>
              <w:spacing w:line="276" w:lineRule="auto"/>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、托管费率为0.007%；</w:t>
            </w:r>
          </w:p>
          <w:p w14:paraId="2F319503">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4、其他费用。</w:t>
            </w:r>
          </w:p>
          <w:p w14:paraId="26BEDA3B">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详细内容见以下“产品费用”条款。</w:t>
            </w:r>
          </w:p>
        </w:tc>
      </w:tr>
      <w:tr w14:paraId="4A61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ABC609D">
            <w:pPr>
              <w:widowControl/>
              <w:spacing w:line="276" w:lineRule="auto"/>
              <w:jc w:val="center"/>
              <w:rPr>
                <w:rFonts w:ascii="Times New Roman" w:hAnsi="Times New Roman"/>
                <w:b/>
                <w:szCs w:val="21"/>
              </w:rPr>
            </w:pPr>
            <w:r>
              <w:rPr>
                <w:rFonts w:hint="eastAsia" w:ascii="Times New Roman" w:hAnsi="Times New Roman"/>
                <w:b/>
                <w:szCs w:val="21"/>
              </w:rPr>
              <w:t>认购费率</w:t>
            </w:r>
          </w:p>
        </w:tc>
        <w:tc>
          <w:tcPr>
            <w:tcW w:w="6519" w:type="dxa"/>
            <w:vAlign w:val="center"/>
          </w:tcPr>
          <w:p w14:paraId="7534E16A">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77CC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6D0870CF">
            <w:pPr>
              <w:widowControl/>
              <w:spacing w:line="276" w:lineRule="auto"/>
              <w:jc w:val="center"/>
              <w:rPr>
                <w:rFonts w:ascii="Times New Roman" w:hAnsi="Times New Roman"/>
                <w:b/>
                <w:szCs w:val="21"/>
              </w:rPr>
            </w:pPr>
            <w:r>
              <w:rPr>
                <w:rFonts w:hint="eastAsia" w:ascii="Times New Roman" w:hAnsi="Times New Roman"/>
                <w:b/>
                <w:szCs w:val="21"/>
              </w:rPr>
              <w:t>申购费率</w:t>
            </w:r>
          </w:p>
        </w:tc>
        <w:tc>
          <w:tcPr>
            <w:tcW w:w="6519" w:type="dxa"/>
            <w:vAlign w:val="center"/>
          </w:tcPr>
          <w:p w14:paraId="3F274F15">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5C93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2FAFA56D">
            <w:pPr>
              <w:widowControl/>
              <w:spacing w:line="276" w:lineRule="auto"/>
              <w:jc w:val="center"/>
              <w:rPr>
                <w:rFonts w:ascii="Times New Roman" w:hAnsi="Times New Roman"/>
                <w:b/>
                <w:szCs w:val="21"/>
              </w:rPr>
            </w:pPr>
            <w:r>
              <w:rPr>
                <w:rFonts w:hint="eastAsia" w:ascii="Times New Roman" w:hAnsi="Times New Roman"/>
                <w:b/>
                <w:szCs w:val="21"/>
              </w:rPr>
              <w:t>赎回费率</w:t>
            </w:r>
          </w:p>
        </w:tc>
        <w:tc>
          <w:tcPr>
            <w:tcW w:w="6519" w:type="dxa"/>
            <w:vAlign w:val="center"/>
          </w:tcPr>
          <w:p w14:paraId="3E3FBCD3">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586B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7C494C8A">
            <w:pPr>
              <w:widowControl/>
              <w:spacing w:line="276" w:lineRule="auto"/>
              <w:jc w:val="center"/>
              <w:rPr>
                <w:rFonts w:ascii="Times New Roman" w:hAnsi="Times New Roman"/>
                <w:bCs/>
                <w:szCs w:val="21"/>
              </w:rPr>
            </w:pPr>
            <w:r>
              <w:rPr>
                <w:rFonts w:hint="eastAsia" w:ascii="Times New Roman" w:hAnsi="Times New Roman"/>
                <w:bCs/>
                <w:szCs w:val="21"/>
              </w:rPr>
              <w:t>同一日单个投资者累计赎回上限</w:t>
            </w:r>
          </w:p>
        </w:tc>
        <w:tc>
          <w:tcPr>
            <w:tcW w:w="6519" w:type="dxa"/>
          </w:tcPr>
          <w:p w14:paraId="000EF60E">
            <w:pPr>
              <w:spacing w:line="276" w:lineRule="auto"/>
              <w:rPr>
                <w:rFonts w:ascii="Times New Roman" w:hAnsi="Times New Roman"/>
                <w:bCs/>
                <w:szCs w:val="21"/>
              </w:rPr>
            </w:pPr>
            <w:r>
              <w:rPr>
                <w:rFonts w:hint="eastAsia" w:ascii="Times New Roman" w:hAnsi="Times New Roman"/>
                <w:bCs/>
                <w:szCs w:val="21"/>
              </w:rPr>
              <w:t>同一日单个投资者累计赎回上限500万元。如需超过同一日单个投资者累计赎回上限限制须向渝农商理财有限责任公司提交申请，渝农商理财有限责任公司可视流动性情况接受或拒绝该申请。</w:t>
            </w:r>
          </w:p>
        </w:tc>
      </w:tr>
      <w:tr w14:paraId="3878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37E08B98">
            <w:pPr>
              <w:widowControl/>
              <w:spacing w:line="276" w:lineRule="auto"/>
              <w:jc w:val="center"/>
              <w:rPr>
                <w:rFonts w:ascii="Times New Roman" w:hAnsi="Times New Roman"/>
                <w:bCs/>
                <w:szCs w:val="21"/>
              </w:rPr>
            </w:pPr>
            <w:r>
              <w:rPr>
                <w:rFonts w:ascii="Times New Roman" w:hAnsi="Times New Roman"/>
                <w:bCs/>
                <w:szCs w:val="21"/>
              </w:rPr>
              <w:t>认购</w:t>
            </w:r>
            <w:r>
              <w:rPr>
                <w:rFonts w:hint="eastAsia" w:ascii="Times New Roman" w:hAnsi="Times New Roman"/>
                <w:bCs/>
                <w:szCs w:val="21"/>
              </w:rPr>
              <w:t>、</w:t>
            </w:r>
            <w:r>
              <w:rPr>
                <w:rFonts w:ascii="Times New Roman" w:hAnsi="Times New Roman"/>
                <w:bCs/>
                <w:szCs w:val="21"/>
              </w:rPr>
              <w:t>申购</w:t>
            </w:r>
            <w:r>
              <w:rPr>
                <w:rFonts w:hint="eastAsia" w:ascii="Times New Roman" w:hAnsi="Times New Roman"/>
                <w:bCs/>
                <w:szCs w:val="21"/>
              </w:rPr>
              <w:t>起点金额</w:t>
            </w:r>
          </w:p>
        </w:tc>
        <w:tc>
          <w:tcPr>
            <w:tcW w:w="6519" w:type="dxa"/>
          </w:tcPr>
          <w:p w14:paraId="1825ECD4">
            <w:pPr>
              <w:spacing w:line="276" w:lineRule="auto"/>
              <w:rPr>
                <w:rFonts w:ascii="Times New Roman" w:hAnsi="Times New Roman"/>
                <w:bCs/>
                <w:szCs w:val="21"/>
              </w:rPr>
            </w:pPr>
            <w:r>
              <w:rPr>
                <w:rFonts w:ascii="Times New Roman" w:hAnsi="Times New Roman"/>
                <w:bCs/>
                <w:szCs w:val="21"/>
              </w:rPr>
              <w:t>A</w:t>
            </w:r>
            <w:r>
              <w:rPr>
                <w:rFonts w:hint="eastAsia" w:ascii="Times New Roman" w:hAnsi="Times New Roman"/>
                <w:bCs/>
                <w:szCs w:val="21"/>
              </w:rPr>
              <w:t>份额认购及申购起点金额为0.01元，高于起点金额部分以0.01元的整数倍递增。对于已持有</w:t>
            </w:r>
            <w:r>
              <w:rPr>
                <w:rFonts w:ascii="Times New Roman" w:hAnsi="Times New Roman"/>
                <w:bCs/>
                <w:szCs w:val="21"/>
              </w:rPr>
              <w:t>A</w:t>
            </w:r>
            <w:r>
              <w:rPr>
                <w:rFonts w:hint="eastAsia" w:ascii="Times New Roman" w:hAnsi="Times New Roman"/>
                <w:bCs/>
                <w:szCs w:val="21"/>
              </w:rPr>
              <w:t>份额的投资者，申购金额以0.01元的整数倍递增。</w:t>
            </w:r>
          </w:p>
          <w:p w14:paraId="0DADE0E0">
            <w:pPr>
              <w:spacing w:line="276" w:lineRule="auto"/>
              <w:rPr>
                <w:rFonts w:ascii="Times New Roman" w:hAnsi="Times New Roman"/>
                <w:bCs/>
                <w:szCs w:val="21"/>
              </w:rPr>
            </w:pPr>
            <w:r>
              <w:rPr>
                <w:rFonts w:ascii="Times New Roman" w:hAnsi="Times New Roman"/>
                <w:bCs/>
                <w:szCs w:val="21"/>
              </w:rPr>
              <w:t>B</w:t>
            </w:r>
            <w:r>
              <w:rPr>
                <w:rFonts w:hint="eastAsia" w:ascii="Times New Roman" w:hAnsi="Times New Roman"/>
                <w:bCs/>
                <w:szCs w:val="21"/>
              </w:rPr>
              <w:t>份额认购及申购起点金额为0.01元，高于起点金额部分以0.01元的整数倍递增。对于已持有</w:t>
            </w:r>
            <w:r>
              <w:rPr>
                <w:rFonts w:ascii="Times New Roman" w:hAnsi="Times New Roman"/>
                <w:bCs/>
                <w:szCs w:val="21"/>
              </w:rPr>
              <w:t>B</w:t>
            </w:r>
            <w:r>
              <w:rPr>
                <w:rFonts w:hint="eastAsia" w:ascii="Times New Roman" w:hAnsi="Times New Roman"/>
                <w:bCs/>
                <w:szCs w:val="21"/>
              </w:rPr>
              <w:t>份额的投资者，申购金额以0.01元的整数倍递增。</w:t>
            </w:r>
          </w:p>
          <w:p w14:paraId="5D3248DA">
            <w:pPr>
              <w:spacing w:line="276" w:lineRule="auto"/>
            </w:pPr>
            <w:r>
              <w:rPr>
                <w:rFonts w:ascii="Times New Roman" w:hAnsi="Times New Roman"/>
                <w:bCs/>
                <w:szCs w:val="21"/>
              </w:rPr>
              <w:t>C</w:t>
            </w:r>
            <w:r>
              <w:rPr>
                <w:rFonts w:hint="eastAsia" w:ascii="Times New Roman" w:hAnsi="Times New Roman"/>
                <w:bCs/>
                <w:szCs w:val="21"/>
              </w:rPr>
              <w:t>份额认购及申购起点金额为0.01元，高于起点金额部分以0.01元的整数倍递增。对于已持有</w:t>
            </w:r>
            <w:r>
              <w:rPr>
                <w:rFonts w:ascii="Times New Roman" w:hAnsi="Times New Roman"/>
                <w:bCs/>
                <w:szCs w:val="21"/>
              </w:rPr>
              <w:t>C</w:t>
            </w:r>
            <w:r>
              <w:rPr>
                <w:rFonts w:hint="eastAsia" w:ascii="Times New Roman" w:hAnsi="Times New Roman"/>
                <w:bCs/>
                <w:szCs w:val="21"/>
              </w:rPr>
              <w:t>份额的投资者，申购金额以0.01元的整数倍递增。</w:t>
            </w:r>
          </w:p>
          <w:p w14:paraId="382E8BFA">
            <w:pPr>
              <w:spacing w:line="276" w:lineRule="auto"/>
              <w:rPr>
                <w:rFonts w:ascii="Times New Roman" w:hAnsi="Times New Roman"/>
                <w:bCs/>
                <w:szCs w:val="21"/>
              </w:rPr>
            </w:pPr>
            <w:r>
              <w:rPr>
                <w:rFonts w:ascii="Times New Roman" w:hAnsi="Times New Roman"/>
                <w:bCs/>
                <w:szCs w:val="21"/>
              </w:rPr>
              <w:t>D</w:t>
            </w:r>
            <w:r>
              <w:rPr>
                <w:rFonts w:hint="eastAsia" w:ascii="Times New Roman" w:hAnsi="Times New Roman"/>
                <w:bCs/>
                <w:szCs w:val="21"/>
              </w:rPr>
              <w:t>份额认购及申购起点金额为0.01元，高于起点金额部分以0.01元的整数倍递增。对于已持有</w:t>
            </w:r>
            <w:r>
              <w:rPr>
                <w:rFonts w:ascii="Times New Roman" w:hAnsi="Times New Roman"/>
                <w:bCs/>
                <w:szCs w:val="21"/>
              </w:rPr>
              <w:t>D</w:t>
            </w:r>
            <w:r>
              <w:rPr>
                <w:rFonts w:hint="eastAsia" w:ascii="Times New Roman" w:hAnsi="Times New Roman"/>
                <w:bCs/>
                <w:szCs w:val="21"/>
              </w:rPr>
              <w:t>份额的投资者，申购金额以0.01元的整数倍递增。</w:t>
            </w:r>
          </w:p>
          <w:p w14:paraId="12E2D605">
            <w:pPr>
              <w:spacing w:line="276" w:lineRule="auto"/>
              <w:rPr>
                <w:rFonts w:ascii="Times New Roman" w:hAnsi="Times New Roman"/>
                <w:bCs/>
                <w:szCs w:val="21"/>
              </w:rPr>
            </w:pPr>
            <w:r>
              <w:rPr>
                <w:rFonts w:ascii="Times New Roman" w:hAnsi="Times New Roman"/>
                <w:bCs/>
                <w:szCs w:val="21"/>
              </w:rPr>
              <w:t>E</w:t>
            </w:r>
            <w:r>
              <w:rPr>
                <w:rFonts w:hint="eastAsia" w:ascii="Times New Roman" w:hAnsi="Times New Roman"/>
                <w:bCs/>
                <w:szCs w:val="21"/>
              </w:rPr>
              <w:t>份额认购及申购起点金额为0.01元，高于起点金额部分以0.01元的整数倍递增。对于已持有</w:t>
            </w:r>
            <w:r>
              <w:rPr>
                <w:rFonts w:ascii="Times New Roman" w:hAnsi="Times New Roman"/>
                <w:bCs/>
                <w:szCs w:val="21"/>
              </w:rPr>
              <w:t>E</w:t>
            </w:r>
            <w:r>
              <w:rPr>
                <w:rFonts w:hint="eastAsia" w:ascii="Times New Roman" w:hAnsi="Times New Roman"/>
                <w:bCs/>
                <w:szCs w:val="21"/>
              </w:rPr>
              <w:t>份额的投资者，申购金额以0.01元的整数倍递增。</w:t>
            </w:r>
          </w:p>
          <w:p w14:paraId="02C8758C">
            <w:pPr>
              <w:spacing w:line="276" w:lineRule="auto"/>
              <w:rPr>
                <w:rFonts w:ascii="Times New Roman" w:hAnsi="Times New Roman"/>
                <w:bCs/>
                <w:szCs w:val="21"/>
              </w:rPr>
            </w:pPr>
            <w:r>
              <w:rPr>
                <w:rFonts w:ascii="Times New Roman" w:hAnsi="Times New Roman"/>
                <w:bCs/>
                <w:szCs w:val="21"/>
              </w:rPr>
              <w:t>F</w:t>
            </w:r>
            <w:r>
              <w:rPr>
                <w:rFonts w:hint="eastAsia" w:ascii="Times New Roman" w:hAnsi="Times New Roman"/>
                <w:bCs/>
                <w:szCs w:val="21"/>
              </w:rPr>
              <w:t>份额认购及申购起点金额为0.01元，高于起点金额部分以0.01元的整数倍递增。对于已持有</w:t>
            </w:r>
            <w:r>
              <w:rPr>
                <w:rFonts w:ascii="Times New Roman" w:hAnsi="Times New Roman"/>
                <w:bCs/>
                <w:szCs w:val="21"/>
              </w:rPr>
              <w:t>F</w:t>
            </w:r>
            <w:r>
              <w:rPr>
                <w:rFonts w:hint="eastAsia" w:ascii="Times New Roman" w:hAnsi="Times New Roman"/>
                <w:bCs/>
                <w:szCs w:val="21"/>
              </w:rPr>
              <w:t>份额的投资者，申购金额以0.01元的整数倍递增。</w:t>
            </w:r>
          </w:p>
          <w:p w14:paraId="778896DB">
            <w:pPr>
              <w:spacing w:line="276" w:lineRule="auto"/>
              <w:rPr>
                <w:rFonts w:ascii="Times New Roman" w:hAnsi="Times New Roman"/>
                <w:bCs/>
                <w:szCs w:val="21"/>
              </w:rPr>
            </w:pPr>
            <w:r>
              <w:rPr>
                <w:rFonts w:ascii="Times New Roman" w:hAnsi="Times New Roman"/>
                <w:bCs/>
                <w:szCs w:val="21"/>
              </w:rPr>
              <w:t>G</w:t>
            </w:r>
            <w:r>
              <w:rPr>
                <w:rFonts w:hint="eastAsia" w:ascii="Times New Roman" w:hAnsi="Times New Roman"/>
                <w:bCs/>
                <w:szCs w:val="21"/>
              </w:rPr>
              <w:t>份额认购及申购起点金额为0.01元，高于起点金额部分以0.01元的整数倍递增。对于已持有</w:t>
            </w:r>
            <w:r>
              <w:rPr>
                <w:rFonts w:ascii="Times New Roman" w:hAnsi="Times New Roman"/>
                <w:bCs/>
                <w:szCs w:val="21"/>
              </w:rPr>
              <w:t>G</w:t>
            </w:r>
            <w:r>
              <w:rPr>
                <w:rFonts w:hint="eastAsia" w:ascii="Times New Roman" w:hAnsi="Times New Roman"/>
                <w:bCs/>
                <w:szCs w:val="21"/>
              </w:rPr>
              <w:t>份额的投资者，申购金额以0.01元的整数倍递增。</w:t>
            </w:r>
          </w:p>
          <w:p w14:paraId="4FB61912">
            <w:pPr>
              <w:spacing w:line="276" w:lineRule="auto"/>
              <w:rPr>
                <w:rFonts w:ascii="Times New Roman" w:hAnsi="Times New Roman"/>
                <w:bCs/>
                <w:szCs w:val="21"/>
              </w:rPr>
            </w:pPr>
            <w:r>
              <w:rPr>
                <w:rFonts w:hint="eastAsia" w:ascii="Times New Roman" w:hAnsi="Times New Roman"/>
                <w:bCs/>
                <w:szCs w:val="21"/>
              </w:rPr>
              <w:t>H份额认购及申购起点金额为0.01元，高于起点金额部分以0.01元的整数倍递增。对于已持有H份额的投资者，申购金额以0.01元的整数倍递增。</w:t>
            </w:r>
          </w:p>
          <w:p w14:paraId="55C4F2E0">
            <w:pPr>
              <w:spacing w:line="276" w:lineRule="auto"/>
              <w:rPr>
                <w:rFonts w:ascii="Times New Roman" w:hAnsi="Times New Roman"/>
                <w:bCs/>
                <w:szCs w:val="21"/>
              </w:rPr>
            </w:pPr>
            <w:r>
              <w:rPr>
                <w:rFonts w:ascii="Times New Roman" w:hAnsi="Times New Roman"/>
                <w:bCs/>
                <w:szCs w:val="21"/>
              </w:rPr>
              <w:t>I</w:t>
            </w:r>
            <w:r>
              <w:rPr>
                <w:rFonts w:hint="eastAsia" w:ascii="Times New Roman" w:hAnsi="Times New Roman"/>
                <w:bCs/>
                <w:szCs w:val="21"/>
              </w:rPr>
              <w:t>份额认购及申购起点金额为0.01元，高于起点金额部分以0.01元的整数倍递增。对于已持有</w:t>
            </w:r>
            <w:r>
              <w:rPr>
                <w:rFonts w:ascii="Times New Roman" w:hAnsi="Times New Roman"/>
                <w:bCs/>
                <w:szCs w:val="21"/>
              </w:rPr>
              <w:t>I</w:t>
            </w:r>
            <w:r>
              <w:rPr>
                <w:rFonts w:hint="eastAsia" w:ascii="Times New Roman" w:hAnsi="Times New Roman"/>
                <w:bCs/>
                <w:szCs w:val="21"/>
              </w:rPr>
              <w:t>份额的投资者，申购金额以0.01元的整数倍递增。</w:t>
            </w:r>
          </w:p>
          <w:p w14:paraId="0F1DF55B">
            <w:pPr>
              <w:spacing w:line="276" w:lineRule="auto"/>
              <w:rPr>
                <w:rFonts w:ascii="Times New Roman" w:hAnsi="Times New Roman"/>
                <w:bCs/>
                <w:szCs w:val="21"/>
              </w:rPr>
            </w:pPr>
          </w:p>
          <w:p w14:paraId="7E2D3DE0">
            <w:pPr>
              <w:spacing w:line="276" w:lineRule="auto"/>
              <w:rPr>
                <w:rFonts w:ascii="Times New Roman" w:hAnsi="Times New Roman"/>
                <w:bCs/>
                <w:szCs w:val="21"/>
              </w:rPr>
            </w:pPr>
            <w:r>
              <w:rPr>
                <w:rFonts w:hint="eastAsia" w:ascii="Times New Roman" w:hAnsi="Times New Roman"/>
                <w:bCs/>
                <w:szCs w:val="21"/>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2A8E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09EBD119">
            <w:pPr>
              <w:widowControl/>
              <w:spacing w:line="276" w:lineRule="auto"/>
              <w:jc w:val="center"/>
              <w:rPr>
                <w:rFonts w:ascii="Times New Roman" w:hAnsi="Times New Roman"/>
                <w:bCs/>
                <w:szCs w:val="21"/>
              </w:rPr>
            </w:pPr>
            <w:r>
              <w:rPr>
                <w:rFonts w:ascii="Times New Roman" w:hAnsi="Times New Roman"/>
                <w:bCs/>
                <w:szCs w:val="21"/>
              </w:rPr>
              <w:t>单笔赎回最低份额</w:t>
            </w:r>
          </w:p>
        </w:tc>
        <w:tc>
          <w:tcPr>
            <w:tcW w:w="6519" w:type="dxa"/>
            <w:vAlign w:val="center"/>
          </w:tcPr>
          <w:p w14:paraId="5EF90D91">
            <w:pPr>
              <w:spacing w:line="276" w:lineRule="auto"/>
              <w:rPr>
                <w:rFonts w:ascii="Times New Roman" w:hAnsi="Times New Roman"/>
                <w:bCs/>
                <w:szCs w:val="21"/>
              </w:rPr>
            </w:pPr>
            <w:r>
              <w:rPr>
                <w:rFonts w:ascii="Times New Roman" w:hAnsi="Times New Roman"/>
                <w:bCs/>
                <w:szCs w:val="21"/>
              </w:rPr>
              <w:t>单笔赎回最低份额</w:t>
            </w:r>
            <w:r>
              <w:rPr>
                <w:rFonts w:hint="eastAsia" w:ascii="Times New Roman" w:hAnsi="Times New Roman"/>
                <w:bCs/>
                <w:szCs w:val="21"/>
              </w:rPr>
              <w:t>为</w:t>
            </w:r>
            <w:r>
              <w:rPr>
                <w:rFonts w:ascii="Times New Roman" w:hAnsi="Times New Roman"/>
                <w:bCs/>
                <w:szCs w:val="21"/>
              </w:rPr>
              <w:t>0.01</w:t>
            </w:r>
            <w:r>
              <w:rPr>
                <w:rFonts w:hint="eastAsia" w:ascii="Times New Roman" w:hAnsi="Times New Roman"/>
                <w:bCs/>
                <w:szCs w:val="21"/>
              </w:rPr>
              <w:t>份，并以0.01份整数倍追加。</w:t>
            </w:r>
          </w:p>
        </w:tc>
      </w:tr>
      <w:tr w14:paraId="759D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14:paraId="115F36A7">
            <w:pPr>
              <w:widowControl/>
              <w:spacing w:line="276" w:lineRule="auto"/>
              <w:jc w:val="center"/>
              <w:rPr>
                <w:rFonts w:ascii="Times New Roman" w:hAnsi="Times New Roman"/>
                <w:bCs/>
                <w:szCs w:val="21"/>
              </w:rPr>
            </w:pPr>
            <w:r>
              <w:rPr>
                <w:rFonts w:hint="eastAsia" w:ascii="Times New Roman" w:hAnsi="Times New Roman"/>
                <w:szCs w:val="21"/>
              </w:rPr>
              <w:t>最低保留份额</w:t>
            </w:r>
          </w:p>
        </w:tc>
        <w:tc>
          <w:tcPr>
            <w:tcW w:w="6519" w:type="dxa"/>
          </w:tcPr>
          <w:p w14:paraId="3CCE2B38">
            <w:pPr>
              <w:spacing w:line="276" w:lineRule="auto"/>
              <w:rPr>
                <w:rFonts w:ascii="Times New Roman" w:hAnsi="Times New Roman"/>
                <w:bCs/>
                <w:szCs w:val="21"/>
              </w:rPr>
            </w:pPr>
            <w:r>
              <w:rPr>
                <w:rFonts w:hint="eastAsia" w:ascii="Times New Roman" w:hAnsi="Times New Roman"/>
                <w:bCs/>
                <w:szCs w:val="21"/>
              </w:rPr>
              <w:t>A份额为0.01份，当A份额投资者持有的剩余A份额低于0.01份时，应一次性申请赎回其持有的全部A份额理财产品；</w:t>
            </w:r>
          </w:p>
          <w:p w14:paraId="7FCA44B6">
            <w:pPr>
              <w:spacing w:line="276" w:lineRule="auto"/>
              <w:rPr>
                <w:rFonts w:ascii="Times New Roman" w:hAnsi="Times New Roman"/>
                <w:bCs/>
                <w:szCs w:val="21"/>
              </w:rPr>
            </w:pPr>
            <w:r>
              <w:rPr>
                <w:rFonts w:hint="eastAsia" w:ascii="Times New Roman" w:hAnsi="Times New Roman"/>
                <w:bCs/>
                <w:szCs w:val="21"/>
              </w:rPr>
              <w:t>B份额为0.01份，当B份额投资者持有的剩余B份额低于0.01份时，应一次性申请赎回其持有的全部B份额理财产品；</w:t>
            </w:r>
          </w:p>
          <w:p w14:paraId="6AA2005B">
            <w:pPr>
              <w:spacing w:line="276" w:lineRule="auto"/>
              <w:rPr>
                <w:rFonts w:ascii="Times New Roman" w:hAnsi="Times New Roman"/>
                <w:bCs/>
                <w:szCs w:val="21"/>
              </w:rPr>
            </w:pPr>
            <w:r>
              <w:rPr>
                <w:rFonts w:hint="eastAsia" w:ascii="Times New Roman" w:hAnsi="Times New Roman"/>
                <w:bCs/>
                <w:szCs w:val="21"/>
              </w:rPr>
              <w:t>C份额为0.01份，当C份额投资者持有的剩余C份额低于0.01份时，应一次性申请赎回其持有的全部C份额理财产品；</w:t>
            </w:r>
          </w:p>
          <w:p w14:paraId="29493045">
            <w:pPr>
              <w:spacing w:line="276" w:lineRule="auto"/>
              <w:rPr>
                <w:rFonts w:ascii="Times New Roman" w:hAnsi="Times New Roman"/>
                <w:bCs/>
                <w:szCs w:val="21"/>
              </w:rPr>
            </w:pPr>
            <w:r>
              <w:rPr>
                <w:rFonts w:hint="eastAsia" w:ascii="Times New Roman" w:hAnsi="Times New Roman"/>
                <w:bCs/>
                <w:szCs w:val="21"/>
              </w:rPr>
              <w:t>D份额为0.01份，当D份额投资者持有的剩余D份额低于0.01份时，应一次性申请赎回其持有的全部D份额理财产品；</w:t>
            </w:r>
          </w:p>
          <w:p w14:paraId="3F696C7F">
            <w:pPr>
              <w:spacing w:line="276" w:lineRule="auto"/>
              <w:jc w:val="left"/>
              <w:rPr>
                <w:rFonts w:ascii="Times New Roman" w:hAnsi="Times New Roman"/>
                <w:bCs/>
                <w:szCs w:val="21"/>
              </w:rPr>
            </w:pPr>
            <w:r>
              <w:rPr>
                <w:rFonts w:hint="eastAsia" w:ascii="Times New Roman" w:hAnsi="Times New Roman"/>
                <w:bCs/>
                <w:szCs w:val="21"/>
              </w:rPr>
              <w:t>E份额为0.01份，当E份额投资者持有的剩余E份额低于0.01份时，应一次性申请赎回其持有的全部E份额理财产品；                            F份额为0.01份，当F份额投资者持有的剩余F份额低于0.01份时，应一次性申请赎回其持有的全部F份额理财产品；</w:t>
            </w:r>
          </w:p>
          <w:p w14:paraId="67706ED0">
            <w:pPr>
              <w:spacing w:line="276" w:lineRule="auto"/>
              <w:jc w:val="left"/>
              <w:rPr>
                <w:rFonts w:ascii="Times New Roman" w:hAnsi="Times New Roman"/>
                <w:bCs/>
                <w:szCs w:val="21"/>
              </w:rPr>
            </w:pPr>
            <w:r>
              <w:rPr>
                <w:rFonts w:hint="eastAsia" w:ascii="Times New Roman" w:hAnsi="Times New Roman"/>
                <w:bCs/>
                <w:szCs w:val="21"/>
              </w:rPr>
              <w:t>G份额为0.01份，当G份额投资者持有的剩余G份额低于0.01份时，应一次性申请赎回其持有的全部G份额理财产品；</w:t>
            </w:r>
          </w:p>
          <w:p w14:paraId="02A869C7">
            <w:pPr>
              <w:spacing w:line="276" w:lineRule="auto"/>
              <w:rPr>
                <w:rFonts w:ascii="Times New Roman" w:hAnsi="Times New Roman"/>
                <w:bCs/>
                <w:szCs w:val="21"/>
              </w:rPr>
            </w:pPr>
            <w:r>
              <w:rPr>
                <w:rFonts w:hint="eastAsia" w:ascii="Times New Roman" w:hAnsi="Times New Roman"/>
                <w:bCs/>
                <w:szCs w:val="21"/>
              </w:rPr>
              <w:t>H份额为0.01份，当H份额投资者持有的剩余H份额低于0.01份时，应一次性申请赎回其持有的全部H份额理财产品;</w:t>
            </w:r>
          </w:p>
          <w:p w14:paraId="6A7DB91D">
            <w:pPr>
              <w:spacing w:line="276" w:lineRule="auto"/>
              <w:rPr>
                <w:rFonts w:ascii="Times New Roman" w:hAnsi="Times New Roman"/>
                <w:bCs/>
                <w:szCs w:val="21"/>
              </w:rPr>
            </w:pPr>
            <w:r>
              <w:rPr>
                <w:rFonts w:ascii="Times New Roman" w:hAnsi="Times New Roman"/>
                <w:bCs/>
                <w:szCs w:val="21"/>
              </w:rPr>
              <w:t>I</w:t>
            </w:r>
            <w:r>
              <w:rPr>
                <w:rFonts w:hint="eastAsia" w:ascii="Times New Roman" w:hAnsi="Times New Roman"/>
                <w:bCs/>
                <w:szCs w:val="21"/>
              </w:rPr>
              <w:t>份额为0.01份，当</w:t>
            </w:r>
            <w:r>
              <w:rPr>
                <w:rFonts w:ascii="Times New Roman" w:hAnsi="Times New Roman"/>
                <w:bCs/>
                <w:szCs w:val="21"/>
              </w:rPr>
              <w:t>I</w:t>
            </w:r>
            <w:r>
              <w:rPr>
                <w:rFonts w:hint="eastAsia" w:ascii="Times New Roman" w:hAnsi="Times New Roman"/>
                <w:bCs/>
                <w:szCs w:val="21"/>
              </w:rPr>
              <w:t>份额投资者持有的剩余</w:t>
            </w:r>
            <w:r>
              <w:rPr>
                <w:rFonts w:ascii="Times New Roman" w:hAnsi="Times New Roman"/>
                <w:bCs/>
                <w:szCs w:val="21"/>
              </w:rPr>
              <w:t>I</w:t>
            </w:r>
            <w:r>
              <w:rPr>
                <w:rFonts w:hint="eastAsia" w:ascii="Times New Roman" w:hAnsi="Times New Roman"/>
                <w:bCs/>
                <w:szCs w:val="21"/>
              </w:rPr>
              <w:t>份额低于0.01份时，应一次性申请赎回其持有的全部</w:t>
            </w:r>
            <w:r>
              <w:rPr>
                <w:rFonts w:ascii="Times New Roman" w:hAnsi="Times New Roman"/>
                <w:bCs/>
                <w:szCs w:val="21"/>
              </w:rPr>
              <w:t>I</w:t>
            </w:r>
            <w:r>
              <w:rPr>
                <w:rFonts w:hint="eastAsia" w:ascii="Times New Roman" w:hAnsi="Times New Roman"/>
                <w:bCs/>
                <w:szCs w:val="21"/>
              </w:rPr>
              <w:t>份额理财产品。</w:t>
            </w:r>
          </w:p>
          <w:p w14:paraId="7E5025DE">
            <w:pPr>
              <w:spacing w:line="276" w:lineRule="auto"/>
              <w:rPr>
                <w:rFonts w:ascii="Times New Roman" w:hAnsi="Times New Roman"/>
                <w:bCs/>
                <w:szCs w:val="21"/>
              </w:rPr>
            </w:pPr>
          </w:p>
        </w:tc>
      </w:tr>
      <w:tr w14:paraId="442D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8CB20E8">
            <w:pPr>
              <w:widowControl/>
              <w:spacing w:line="276" w:lineRule="auto"/>
              <w:jc w:val="center"/>
              <w:rPr>
                <w:rFonts w:ascii="Times New Roman" w:hAnsi="Times New Roman"/>
                <w:bCs/>
                <w:szCs w:val="21"/>
              </w:rPr>
            </w:pPr>
            <w:r>
              <w:rPr>
                <w:rFonts w:hint="eastAsia" w:ascii="Times New Roman" w:hAnsi="Times New Roman"/>
                <w:bCs/>
                <w:szCs w:val="21"/>
              </w:rPr>
              <w:t>产品管理人</w:t>
            </w:r>
          </w:p>
        </w:tc>
        <w:tc>
          <w:tcPr>
            <w:tcW w:w="6519" w:type="dxa"/>
          </w:tcPr>
          <w:p w14:paraId="7D8103B9">
            <w:pPr>
              <w:spacing w:line="276" w:lineRule="auto"/>
              <w:rPr>
                <w:rFonts w:ascii="Times New Roman" w:hAnsi="Times New Roman"/>
                <w:bCs/>
                <w:szCs w:val="21"/>
              </w:rPr>
            </w:pPr>
            <w:r>
              <w:rPr>
                <w:rFonts w:hint="eastAsia" w:ascii="Times New Roman" w:hAnsi="Times New Roman"/>
                <w:szCs w:val="21"/>
              </w:rPr>
              <w:t>渝农商理财有限责任公司</w:t>
            </w:r>
          </w:p>
        </w:tc>
      </w:tr>
      <w:tr w14:paraId="2805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09EEADE5">
            <w:pPr>
              <w:widowControl/>
              <w:spacing w:line="276" w:lineRule="auto"/>
              <w:jc w:val="center"/>
              <w:rPr>
                <w:rFonts w:ascii="Times New Roman" w:hAnsi="Times New Roman"/>
                <w:bCs/>
                <w:szCs w:val="21"/>
              </w:rPr>
            </w:pPr>
            <w:r>
              <w:rPr>
                <w:rFonts w:hint="eastAsia" w:ascii="Times New Roman" w:hAnsi="Times New Roman" w:cs="宋体"/>
                <w:bCs/>
                <w:szCs w:val="21"/>
              </w:rPr>
              <w:t>销售（代理销售）机构</w:t>
            </w:r>
          </w:p>
        </w:tc>
        <w:tc>
          <w:tcPr>
            <w:tcW w:w="6519" w:type="dxa"/>
          </w:tcPr>
          <w:p w14:paraId="2C4CD28F">
            <w:pPr>
              <w:spacing w:line="276" w:lineRule="auto"/>
              <w:rPr>
                <w:rFonts w:ascii="Times New Roman" w:hAnsi="Times New Roman" w:cs="宋体"/>
                <w:szCs w:val="21"/>
              </w:rPr>
            </w:pPr>
            <w:r>
              <w:rPr>
                <w:rFonts w:hint="eastAsia" w:ascii="Times New Roman" w:hAnsi="Times New Roman" w:cs="宋体"/>
                <w:szCs w:val="21"/>
              </w:rPr>
              <w:t>A份额的销售机构为浙江泰隆商业银行股份有限公司；</w:t>
            </w:r>
          </w:p>
          <w:p w14:paraId="37071459">
            <w:pPr>
              <w:spacing w:line="276" w:lineRule="auto"/>
              <w:rPr>
                <w:rFonts w:ascii="Times New Roman" w:hAnsi="Times New Roman" w:cs="宋体"/>
                <w:szCs w:val="21"/>
              </w:rPr>
            </w:pPr>
            <w:r>
              <w:rPr>
                <w:rFonts w:hint="eastAsia" w:ascii="Times New Roman" w:hAnsi="Times New Roman" w:cs="宋体"/>
                <w:szCs w:val="21"/>
              </w:rPr>
              <w:t>B份额的销售机构为兴业银行股份有限公司；</w:t>
            </w:r>
          </w:p>
          <w:p w14:paraId="4D3A24F2">
            <w:pPr>
              <w:spacing w:line="276" w:lineRule="auto"/>
              <w:rPr>
                <w:rFonts w:ascii="Times New Roman" w:hAnsi="Times New Roman" w:cs="宋体"/>
                <w:szCs w:val="21"/>
              </w:rPr>
            </w:pPr>
            <w:r>
              <w:rPr>
                <w:rFonts w:hint="eastAsia" w:ascii="Times New Roman" w:hAnsi="Times New Roman" w:cs="宋体"/>
                <w:szCs w:val="21"/>
              </w:rPr>
              <w:t>C份额的销售机构为渝农商理财有限责任公司；</w:t>
            </w:r>
          </w:p>
          <w:p w14:paraId="6F54C2B3">
            <w:pPr>
              <w:spacing w:line="276" w:lineRule="auto"/>
              <w:rPr>
                <w:rFonts w:ascii="Times New Roman" w:hAnsi="Times New Roman" w:cs="宋体"/>
                <w:szCs w:val="21"/>
              </w:rPr>
            </w:pPr>
            <w:r>
              <w:rPr>
                <w:rFonts w:hint="eastAsia" w:ascii="Times New Roman" w:hAnsi="Times New Roman" w:cs="宋体"/>
                <w:szCs w:val="21"/>
              </w:rPr>
              <w:t>D份额的销售机构为中邮邮惠万家银行有限责任公司、江苏苏商银行股份有限公司；</w:t>
            </w:r>
          </w:p>
          <w:p w14:paraId="0872365C">
            <w:pPr>
              <w:spacing w:line="276" w:lineRule="auto"/>
              <w:jc w:val="left"/>
              <w:rPr>
                <w:rFonts w:ascii="Times New Roman" w:hAnsi="Times New Roman" w:cs="宋体"/>
                <w:szCs w:val="21"/>
              </w:rPr>
            </w:pPr>
            <w:r>
              <w:rPr>
                <w:rFonts w:hint="eastAsia" w:ascii="Times New Roman" w:hAnsi="Times New Roman" w:cs="宋体"/>
                <w:szCs w:val="21"/>
              </w:rPr>
              <w:t xml:space="preserve">E份额的销售机构为广东台山农村商业银行股份有限公司、佛山农村商业银行股份有限公司；             </w:t>
            </w:r>
          </w:p>
          <w:p w14:paraId="5DDF190D">
            <w:pPr>
              <w:spacing w:line="276" w:lineRule="auto"/>
              <w:jc w:val="left"/>
              <w:rPr>
                <w:rFonts w:ascii="Times New Roman" w:hAnsi="Times New Roman" w:cs="宋体"/>
                <w:szCs w:val="21"/>
              </w:rPr>
            </w:pPr>
            <w:r>
              <w:rPr>
                <w:rFonts w:hint="eastAsia" w:ascii="Times New Roman" w:hAnsi="Times New Roman" w:cs="宋体"/>
                <w:szCs w:val="21"/>
              </w:rPr>
              <w:t>F份额的销售机构为中山农村商业银行股份有限公司、广东翁源农村商业银行股份有限公司</w:t>
            </w:r>
            <w:r>
              <w:rPr>
                <w:rFonts w:hint="eastAsia" w:ascii="Times New Roman" w:hAnsi="Times New Roman" w:cs="宋体"/>
                <w:szCs w:val="21"/>
                <w:lang w:eastAsia="zh-CN"/>
              </w:rPr>
              <w:t>、</w:t>
            </w:r>
            <w:r>
              <w:rPr>
                <w:rFonts w:hint="eastAsia" w:ascii="Times New Roman" w:hAnsi="Times New Roman" w:cs="宋体"/>
                <w:szCs w:val="21"/>
                <w:lang w:val="en-US" w:eastAsia="zh-CN"/>
              </w:rPr>
              <w:t>浙江江山农村商业银行股份有限公司</w:t>
            </w:r>
            <w:r>
              <w:rPr>
                <w:rFonts w:hint="eastAsia" w:ascii="Times New Roman" w:hAnsi="Times New Roman" w:cs="宋体"/>
                <w:szCs w:val="21"/>
              </w:rPr>
              <w:t>；</w:t>
            </w:r>
          </w:p>
          <w:p w14:paraId="352C8173">
            <w:pPr>
              <w:spacing w:line="276" w:lineRule="auto"/>
              <w:jc w:val="left"/>
              <w:rPr>
                <w:rFonts w:ascii="Times New Roman" w:hAnsi="Times New Roman" w:cs="宋体"/>
                <w:szCs w:val="21"/>
              </w:rPr>
            </w:pPr>
            <w:r>
              <w:rPr>
                <w:rFonts w:hint="eastAsia" w:ascii="Times New Roman" w:hAnsi="Times New Roman" w:cs="宋体"/>
                <w:szCs w:val="21"/>
              </w:rPr>
              <w:t>G份额的销售机构为浙江长兴农村商业银行股份有限公司；</w:t>
            </w:r>
          </w:p>
          <w:p w14:paraId="025C7CD3">
            <w:pPr>
              <w:spacing w:line="276" w:lineRule="auto"/>
              <w:rPr>
                <w:rFonts w:ascii="Times New Roman" w:hAnsi="Times New Roman" w:cs="宋体"/>
                <w:szCs w:val="21"/>
              </w:rPr>
            </w:pPr>
            <w:r>
              <w:rPr>
                <w:rFonts w:hint="eastAsia" w:ascii="Times New Roman" w:hAnsi="Times New Roman" w:cs="宋体"/>
                <w:szCs w:val="21"/>
              </w:rPr>
              <w:t>H份额的销售机构为浙江绍兴瑞丰农村商业银行股份有限公司、天津农村商业银行股份有限公司</w:t>
            </w:r>
            <w:r>
              <w:rPr>
                <w:rFonts w:hint="eastAsia" w:ascii="Times New Roman" w:hAnsi="Times New Roman" w:cs="宋体"/>
                <w:szCs w:val="21"/>
                <w:lang w:eastAsia="zh-CN"/>
              </w:rPr>
              <w:t>、</w:t>
            </w:r>
            <w:r>
              <w:rPr>
                <w:rFonts w:hint="eastAsia" w:ascii="Times New Roman" w:hAnsi="Times New Roman" w:cs="宋体"/>
                <w:szCs w:val="21"/>
                <w:lang w:val="en-US" w:eastAsia="zh-CN"/>
              </w:rPr>
              <w:t>广东郁南农村商业银行股份有限公司</w:t>
            </w:r>
            <w:r>
              <w:rPr>
                <w:rFonts w:ascii="Times New Roman" w:hAnsi="Times New Roman" w:cs="宋体"/>
                <w:szCs w:val="21"/>
              </w:rPr>
              <w:t>；</w:t>
            </w:r>
          </w:p>
          <w:p w14:paraId="0DCEDC56">
            <w:pPr>
              <w:spacing w:line="276" w:lineRule="auto"/>
              <w:rPr>
                <w:rFonts w:ascii="Times New Roman" w:hAnsi="Times New Roman" w:cs="宋体"/>
                <w:szCs w:val="21"/>
              </w:rPr>
            </w:pPr>
            <w:r>
              <w:rPr>
                <w:rFonts w:ascii="Times New Roman" w:hAnsi="Times New Roman" w:cs="宋体"/>
                <w:szCs w:val="21"/>
              </w:rPr>
              <w:t>I</w:t>
            </w:r>
            <w:r>
              <w:rPr>
                <w:rFonts w:hint="eastAsia" w:ascii="Times New Roman" w:hAnsi="Times New Roman" w:cs="宋体"/>
                <w:szCs w:val="21"/>
              </w:rPr>
              <w:t>份额的销售机构为湖南三湘银行股份有限公司</w:t>
            </w:r>
            <w:r>
              <w:rPr>
                <w:rFonts w:ascii="Times New Roman" w:hAnsi="Times New Roman" w:cs="宋体"/>
                <w:szCs w:val="21"/>
              </w:rPr>
              <w:t>。</w:t>
            </w:r>
          </w:p>
          <w:p w14:paraId="45DD7CA7">
            <w:pPr>
              <w:spacing w:line="276" w:lineRule="auto"/>
              <w:rPr>
                <w:rFonts w:ascii="Times New Roman" w:hAnsi="Times New Roman"/>
                <w:bCs/>
                <w:szCs w:val="21"/>
              </w:rPr>
            </w:pPr>
            <w:r>
              <w:rPr>
                <w:rFonts w:hint="eastAsia" w:ascii="Times New Roman" w:hAnsi="Times New Roman" w:cs="宋体"/>
                <w:szCs w:val="21"/>
              </w:rPr>
              <w:t>销售（代理销售）机构负责产品销售渠道维护、投资者适当性管理和风险承受能力评估、提供产品申购赎回（如有）等服务，并协助开展合同签署、信息披露、客户咨询等销售服务。</w:t>
            </w:r>
          </w:p>
        </w:tc>
      </w:tr>
      <w:tr w14:paraId="6C09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708D6919">
            <w:pPr>
              <w:widowControl/>
              <w:spacing w:line="276" w:lineRule="auto"/>
              <w:jc w:val="center"/>
              <w:rPr>
                <w:rFonts w:ascii="Times New Roman" w:hAnsi="Times New Roman"/>
                <w:bCs/>
                <w:szCs w:val="21"/>
              </w:rPr>
            </w:pPr>
            <w:r>
              <w:rPr>
                <w:rFonts w:hint="eastAsia" w:ascii="Times New Roman" w:hAnsi="Times New Roman" w:cs="宋体"/>
                <w:szCs w:val="21"/>
              </w:rPr>
              <w:t>理财产品托管人</w:t>
            </w:r>
          </w:p>
        </w:tc>
        <w:tc>
          <w:tcPr>
            <w:tcW w:w="6519" w:type="dxa"/>
          </w:tcPr>
          <w:p w14:paraId="4EEF7AD3">
            <w:pPr>
              <w:spacing w:line="276" w:lineRule="auto"/>
              <w:rPr>
                <w:rFonts w:ascii="Times New Roman" w:hAnsi="Times New Roman"/>
                <w:bCs/>
                <w:szCs w:val="21"/>
              </w:rPr>
            </w:pPr>
            <w:r>
              <w:rPr>
                <w:rFonts w:hint="eastAsia" w:ascii="Times New Roman" w:hAnsi="Times New Roman" w:cs="宋体"/>
                <w:szCs w:val="21"/>
              </w:rPr>
              <w:t>宁波银行股份有限公司。</w:t>
            </w:r>
            <w:r>
              <w:rPr>
                <w:rFonts w:ascii="Times New Roman" w:hAnsi="Times New Roman" w:cs="宋体"/>
                <w:szCs w:val="21"/>
              </w:rPr>
              <w:t>托管人负责指令处理、资金清算、证券结算、会计核算、资产估值等职责。</w:t>
            </w:r>
          </w:p>
        </w:tc>
      </w:tr>
      <w:tr w14:paraId="252B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17AA1535">
            <w:pPr>
              <w:widowControl/>
              <w:spacing w:line="276" w:lineRule="auto"/>
              <w:jc w:val="center"/>
              <w:rPr>
                <w:rFonts w:ascii="Times New Roman" w:hAnsi="Times New Roman" w:cs="宋体"/>
                <w:szCs w:val="21"/>
              </w:rPr>
            </w:pPr>
            <w:r>
              <w:rPr>
                <w:rFonts w:hint="eastAsia" w:ascii="Times New Roman" w:hAnsi="Times New Roman" w:cs="宋体"/>
                <w:szCs w:val="21"/>
              </w:rPr>
              <w:t>投资合作机构</w:t>
            </w:r>
          </w:p>
        </w:tc>
        <w:tc>
          <w:tcPr>
            <w:tcW w:w="6519" w:type="dxa"/>
          </w:tcPr>
          <w:p w14:paraId="48533A61">
            <w:pPr>
              <w:spacing w:line="276" w:lineRule="auto"/>
              <w:rPr>
                <w:rFonts w:ascii="Times New Roman" w:hAnsi="Times New Roman" w:cs="宋体"/>
                <w:szCs w:val="21"/>
              </w:rPr>
            </w:pPr>
            <w:r>
              <w:rPr>
                <w:rFonts w:hint="eastAsia" w:ascii="Times New Roman" w:hAnsi="Times New Roman" w:cs="宋体"/>
                <w:szCs w:val="21"/>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w:t>
            </w:r>
            <w:r>
              <w:rPr>
                <w:rFonts w:ascii="Times New Roman" w:hAnsi="Times New Roman" w:cs="宋体"/>
                <w:szCs w:val="21"/>
              </w:rPr>
              <w:t>太平资产管理有限公司</w:t>
            </w:r>
            <w:r>
              <w:rPr>
                <w:rFonts w:hint="eastAsia" w:ascii="Times New Roman" w:hAnsi="Times New Roman" w:cs="宋体"/>
                <w:szCs w:val="21"/>
              </w:rPr>
              <w:t>、</w:t>
            </w:r>
            <w:r>
              <w:rPr>
                <w:rFonts w:ascii="Times New Roman" w:hAnsi="Times New Roman" w:cs="宋体"/>
                <w:szCs w:val="21"/>
              </w:rPr>
              <w:t>太平洋资产管理有限责任公司及光大永明资产管理股份有限公司</w:t>
            </w:r>
            <w:r>
              <w:rPr>
                <w:rFonts w:hint="eastAsia" w:ascii="Times New Roman" w:hAnsi="Times New Roman" w:cs="宋体"/>
                <w:szCs w:val="21"/>
              </w:rPr>
              <w:t>，具体以后续信息披露为准。</w:t>
            </w:r>
          </w:p>
        </w:tc>
      </w:tr>
      <w:tr w14:paraId="267F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1862BFE6">
            <w:pPr>
              <w:spacing w:line="276" w:lineRule="auto"/>
              <w:jc w:val="center"/>
              <w:rPr>
                <w:rFonts w:ascii="Times New Roman" w:hAnsi="Times New Roman"/>
                <w:bCs/>
                <w:szCs w:val="21"/>
              </w:rPr>
            </w:pPr>
            <w:r>
              <w:rPr>
                <w:rFonts w:hint="eastAsia" w:ascii="Times New Roman" w:hAnsi="Times New Roman"/>
                <w:bCs/>
                <w:szCs w:val="21"/>
              </w:rPr>
              <w:t>提前终止权</w:t>
            </w:r>
          </w:p>
        </w:tc>
        <w:tc>
          <w:tcPr>
            <w:tcW w:w="6519" w:type="dxa"/>
          </w:tcPr>
          <w:p w14:paraId="1596D1FF">
            <w:pPr>
              <w:spacing w:line="276" w:lineRule="auto"/>
              <w:rPr>
                <w:rFonts w:ascii="Times New Roman" w:hAnsi="Times New Roman"/>
                <w:bCs/>
                <w:szCs w:val="21"/>
              </w:rPr>
            </w:pPr>
            <w:r>
              <w:rPr>
                <w:rFonts w:hint="eastAsia" w:ascii="Times New Roman" w:hAnsi="Times New Roman"/>
                <w:bCs/>
                <w:szCs w:val="21"/>
              </w:rPr>
              <w:t>除正常</w:t>
            </w:r>
            <w:r>
              <w:rPr>
                <w:rFonts w:ascii="Times New Roman" w:hAnsi="Times New Roman" w:cs="宋体"/>
                <w:szCs w:val="21"/>
              </w:rPr>
              <w:t>赎回</w:t>
            </w:r>
            <w:r>
              <w:rPr>
                <w:rFonts w:hint="eastAsia" w:ascii="Times New Roman" w:hAnsi="Times New Roman" w:cs="宋体"/>
                <w:szCs w:val="21"/>
              </w:rPr>
              <w:t>外，</w:t>
            </w:r>
            <w:r>
              <w:rPr>
                <w:rFonts w:hint="eastAsia" w:ascii="Times New Roman" w:hAnsi="Times New Roman"/>
                <w:bCs/>
                <w:szCs w:val="21"/>
              </w:rPr>
              <w:t>投资者无权提前终止该产品；在产品运作期间内，</w:t>
            </w:r>
            <w:r>
              <w:rPr>
                <w:rFonts w:hint="eastAsia" w:ascii="Times New Roman" w:hAnsi="Times New Roman"/>
                <w:szCs w:val="21"/>
              </w:rPr>
              <w:t>渝农商理财有限责任公司</w:t>
            </w:r>
            <w:r>
              <w:rPr>
                <w:rFonts w:hint="eastAsia" w:ascii="Times New Roman" w:hAnsi="Times New Roman"/>
                <w:bCs/>
                <w:szCs w:val="21"/>
              </w:rPr>
              <w:t>有权视产品运行情况提前终止本理财产品，详细内容见以下“</w:t>
            </w:r>
            <w:r>
              <w:rPr>
                <w:rFonts w:hint="eastAsia" w:ascii="Times New Roman" w:hAnsi="Times New Roman"/>
                <w:b/>
                <w:szCs w:val="21"/>
              </w:rPr>
              <w:t>提前终止</w:t>
            </w:r>
            <w:r>
              <w:rPr>
                <w:rFonts w:hint="eastAsia" w:ascii="Times New Roman" w:hAnsi="Times New Roman"/>
                <w:bCs/>
                <w:szCs w:val="21"/>
              </w:rPr>
              <w:t>”条款。</w:t>
            </w:r>
          </w:p>
        </w:tc>
      </w:tr>
      <w:tr w14:paraId="6E44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3A695F38">
            <w:pPr>
              <w:spacing w:line="276" w:lineRule="auto"/>
              <w:jc w:val="center"/>
              <w:rPr>
                <w:rFonts w:ascii="Times New Roman" w:hAnsi="Times New Roman"/>
                <w:bCs/>
                <w:szCs w:val="21"/>
              </w:rPr>
            </w:pPr>
            <w:r>
              <w:rPr>
                <w:rFonts w:hint="eastAsia" w:ascii="Times New Roman" w:hAnsi="Times New Roman"/>
                <w:bCs/>
                <w:szCs w:val="21"/>
              </w:rPr>
              <w:t>税款</w:t>
            </w:r>
          </w:p>
        </w:tc>
        <w:tc>
          <w:tcPr>
            <w:tcW w:w="6519" w:type="dxa"/>
          </w:tcPr>
          <w:p w14:paraId="60CDBD18">
            <w:pPr>
              <w:spacing w:line="276" w:lineRule="auto"/>
              <w:rPr>
                <w:rFonts w:ascii="Times New Roman" w:hAnsi="Times New Roman"/>
                <w:bCs/>
                <w:szCs w:val="21"/>
              </w:rPr>
            </w:pPr>
            <w:r>
              <w:rPr>
                <w:rFonts w:hint="eastAsia"/>
              </w:rPr>
              <w:t>本产品运作过程中涉及的各纳税主体的纳税义务按国家税收法律、法规执行。</w:t>
            </w:r>
            <w:r>
              <w:rPr>
                <w:rFonts w:hint="eastAsia" w:ascii="Times New Roman" w:hAnsi="Times New Roman"/>
                <w:bCs/>
                <w:szCs w:val="21"/>
              </w:rPr>
              <w:t>理财产品运营过程中产生的相关税费，由理财产品承担，</w:t>
            </w:r>
            <w:r>
              <w:rPr>
                <w:rFonts w:hint="eastAsia" w:ascii="Times New Roman" w:hAnsi="Times New Roman"/>
                <w:szCs w:val="21"/>
              </w:rPr>
              <w:t>渝农商理财有限责任公司作为产品管理人以理财资金予以缴纳。</w:t>
            </w:r>
            <w:r>
              <w:rPr>
                <w:rFonts w:ascii="Times New Roman" w:hAnsi="Times New Roman"/>
                <w:bCs/>
                <w:szCs w:val="21"/>
              </w:rPr>
              <w:t>除法律法规特别要求外，</w:t>
            </w:r>
            <w:r>
              <w:rPr>
                <w:rFonts w:hint="eastAsia" w:ascii="Times New Roman" w:hAnsi="Times New Roman"/>
                <w:bCs/>
                <w:szCs w:val="21"/>
              </w:rPr>
              <w:t>投资者取得理财收益的应纳税款由投资者自行申报及缴纳</w:t>
            </w:r>
            <w:r>
              <w:rPr>
                <w:rFonts w:hint="eastAsia" w:ascii="Times New Roman" w:hAnsi="Times New Roman"/>
                <w:kern w:val="0"/>
                <w:szCs w:val="21"/>
              </w:rPr>
              <w:t>，理财</w:t>
            </w:r>
            <w:r>
              <w:rPr>
                <w:rFonts w:ascii="Times New Roman" w:hAnsi="Times New Roman"/>
                <w:kern w:val="0"/>
                <w:szCs w:val="21"/>
              </w:rPr>
              <w:t>产品管理人不承担代扣代缴或纳税的义务</w:t>
            </w:r>
            <w:r>
              <w:rPr>
                <w:rFonts w:hint="eastAsia" w:ascii="Times New Roman" w:hAnsi="Times New Roman"/>
                <w:szCs w:val="21"/>
              </w:rPr>
              <w:t>。</w:t>
            </w:r>
          </w:p>
        </w:tc>
      </w:tr>
      <w:tr w14:paraId="3229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70FE47E8">
            <w:pPr>
              <w:spacing w:line="276" w:lineRule="auto"/>
              <w:jc w:val="center"/>
              <w:rPr>
                <w:rFonts w:ascii="Times New Roman" w:hAnsi="Times New Roman"/>
                <w:bCs/>
                <w:szCs w:val="21"/>
              </w:rPr>
            </w:pPr>
            <w:r>
              <w:rPr>
                <w:rFonts w:ascii="Times New Roman" w:hAnsi="Times New Roman" w:cstheme="minorBidi"/>
                <w:szCs w:val="21"/>
              </w:rPr>
              <w:t>分红规则</w:t>
            </w:r>
          </w:p>
        </w:tc>
        <w:tc>
          <w:tcPr>
            <w:tcW w:w="6519" w:type="dxa"/>
            <w:vAlign w:val="center"/>
          </w:tcPr>
          <w:p w14:paraId="3A138EC6">
            <w:pPr>
              <w:spacing w:line="276" w:lineRule="auto"/>
              <w:rPr>
                <w:rFonts w:ascii="Times New Roman" w:hAnsi="Times New Roman"/>
                <w:bCs/>
                <w:szCs w:val="21"/>
              </w:rPr>
            </w:pPr>
            <w:r>
              <w:rPr>
                <w:rFonts w:ascii="Times New Roman" w:hAnsi="Times New Roman" w:cstheme="minorBidi"/>
                <w:szCs w:val="21"/>
              </w:rPr>
              <w:t>当产品单位净值达到一定金额时，管理人有权对产品进行分红。</w:t>
            </w:r>
          </w:p>
        </w:tc>
      </w:tr>
      <w:tr w14:paraId="1692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7005EB07">
            <w:pPr>
              <w:spacing w:line="276" w:lineRule="auto"/>
              <w:jc w:val="center"/>
              <w:rPr>
                <w:rFonts w:ascii="Times New Roman" w:hAnsi="Times New Roman"/>
                <w:bCs/>
                <w:szCs w:val="21"/>
              </w:rPr>
            </w:pPr>
            <w:r>
              <w:rPr>
                <w:rFonts w:hint="eastAsia" w:ascii="Times New Roman" w:hAnsi="Times New Roman"/>
                <w:bCs/>
                <w:szCs w:val="21"/>
              </w:rPr>
              <w:t>其他规定</w:t>
            </w:r>
          </w:p>
        </w:tc>
        <w:tc>
          <w:tcPr>
            <w:tcW w:w="6519" w:type="dxa"/>
          </w:tcPr>
          <w:p w14:paraId="3A00016C">
            <w:pPr>
              <w:spacing w:line="276" w:lineRule="auto"/>
              <w:rPr>
                <w:rFonts w:ascii="Times New Roman" w:hAnsi="Times New Roman"/>
                <w:bCs/>
                <w:szCs w:val="21"/>
              </w:rPr>
            </w:pPr>
            <w:r>
              <w:rPr>
                <w:rFonts w:hint="eastAsia" w:ascii="Times New Roman" w:hAnsi="Times New Roman"/>
                <w:b/>
                <w:szCs w:val="21"/>
              </w:rPr>
              <w:t>产品到期日或提前终止日或申赎确认日至资金到账日期间投资者资金不计息</w:t>
            </w:r>
            <w:r>
              <w:rPr>
                <w:rFonts w:hint="eastAsia" w:ascii="Times New Roman" w:hAnsi="Times New Roman"/>
                <w:bCs/>
                <w:szCs w:val="21"/>
              </w:rPr>
              <w:t>。</w:t>
            </w:r>
          </w:p>
        </w:tc>
      </w:tr>
    </w:tbl>
    <w:p w14:paraId="68B1B471">
      <w:pPr>
        <w:numPr>
          <w:ilvl w:val="0"/>
          <w:numId w:val="2"/>
        </w:num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投资范围及比例</w:t>
      </w:r>
    </w:p>
    <w:p w14:paraId="3463FE42">
      <w:pPr>
        <w:spacing w:before="8" w:after="3" w:line="276" w:lineRule="auto"/>
        <w:ind w:left="226" w:right="424" w:firstLine="420" w:firstLineChars="200"/>
        <w:rPr>
          <w:rFonts w:ascii="Times New Roman" w:hAnsi="Times New Roman"/>
          <w:bCs/>
          <w:szCs w:val="21"/>
        </w:rPr>
      </w:pPr>
      <w:bookmarkStart w:id="9" w:name="_Hlk38478568"/>
      <w:bookmarkStart w:id="10" w:name="_Hlk38475931"/>
      <w:r>
        <w:rPr>
          <w:rFonts w:hint="eastAsia" w:ascii="Times New Roman" w:hAnsi="Times New Roman"/>
          <w:bCs/>
          <w:szCs w:val="21"/>
        </w:rPr>
        <w:t>本理财产品直接投资或通过资产管理计划和信托计划等间接投资于符合监管要求的金融资产和金融工具，包括但不限于：现金，债券回购，银行存款，同业存单，货币型证券投资基金。各类资产投资比例范围如下：</w:t>
      </w:r>
    </w:p>
    <w:bookmarkEnd w:id="9"/>
    <w:bookmarkEnd w:id="10"/>
    <w:tbl>
      <w:tblPr>
        <w:tblStyle w:val="34"/>
        <w:tblW w:w="8280" w:type="dxa"/>
        <w:tblInd w:w="5" w:type="dxa"/>
        <w:tblLayout w:type="fixed"/>
        <w:tblCellMar>
          <w:top w:w="0" w:type="dxa"/>
          <w:left w:w="0" w:type="dxa"/>
          <w:bottom w:w="0" w:type="dxa"/>
          <w:right w:w="0" w:type="dxa"/>
        </w:tblCellMar>
      </w:tblPr>
      <w:tblGrid>
        <w:gridCol w:w="5812"/>
        <w:gridCol w:w="2468"/>
      </w:tblGrid>
      <w:tr w14:paraId="49D5DC98">
        <w:trPr>
          <w:trHeight w:val="365" w:hRule="exact"/>
        </w:trPr>
        <w:tc>
          <w:tcPr>
            <w:tcW w:w="5812" w:type="dxa"/>
            <w:tcBorders>
              <w:top w:val="single" w:color="auto" w:sz="4" w:space="0"/>
              <w:left w:val="single" w:color="auto" w:sz="4" w:space="0"/>
              <w:bottom w:val="single" w:color="auto" w:sz="4" w:space="0"/>
              <w:right w:val="single" w:color="auto" w:sz="4" w:space="0"/>
            </w:tcBorders>
          </w:tcPr>
          <w:p w14:paraId="611BFF89">
            <w:pPr>
              <w:pStyle w:val="32"/>
              <w:spacing w:line="276" w:lineRule="auto"/>
              <w:ind w:left="105"/>
              <w:jc w:val="center"/>
              <w:rPr>
                <w:rFonts w:ascii="Times New Roman" w:hAnsi="Times New Roman" w:eastAsia="宋体" w:cs="宋体"/>
                <w:sz w:val="21"/>
                <w:szCs w:val="21"/>
              </w:rPr>
            </w:pPr>
            <w:r>
              <w:rPr>
                <w:rFonts w:ascii="Times New Roman" w:hAnsi="Times New Roman" w:eastAsia="宋体" w:cs="宋体"/>
                <w:sz w:val="21"/>
                <w:szCs w:val="21"/>
              </w:rPr>
              <w:t>投资品种</w:t>
            </w:r>
          </w:p>
        </w:tc>
        <w:tc>
          <w:tcPr>
            <w:tcW w:w="2468" w:type="dxa"/>
            <w:tcBorders>
              <w:top w:val="single" w:color="auto" w:sz="4" w:space="0"/>
              <w:left w:val="single" w:color="auto" w:sz="4" w:space="0"/>
              <w:bottom w:val="single" w:color="auto" w:sz="4" w:space="0"/>
              <w:right w:val="single" w:color="auto" w:sz="4" w:space="0"/>
            </w:tcBorders>
          </w:tcPr>
          <w:p w14:paraId="172B6A8F">
            <w:pPr>
              <w:pStyle w:val="32"/>
              <w:spacing w:line="276" w:lineRule="auto"/>
              <w:ind w:left="105" w:right="-5"/>
              <w:jc w:val="center"/>
              <w:rPr>
                <w:rFonts w:ascii="Times New Roman" w:hAnsi="Times New Roman" w:eastAsia="宋体" w:cs="宋体"/>
                <w:sz w:val="21"/>
                <w:szCs w:val="21"/>
                <w:lang w:eastAsia="zh-CN"/>
              </w:rPr>
            </w:pPr>
            <w:r>
              <w:rPr>
                <w:rFonts w:hint="eastAsia" w:ascii="Times New Roman" w:hAnsi="Times New Roman" w:eastAsia="宋体" w:cs="宋体"/>
                <w:spacing w:val="-9"/>
                <w:sz w:val="21"/>
                <w:szCs w:val="21"/>
                <w:lang w:eastAsia="zh-CN"/>
              </w:rPr>
              <w:t>投资比例</w:t>
            </w:r>
          </w:p>
        </w:tc>
      </w:tr>
      <w:tr w14:paraId="0C64E3A7">
        <w:tblPrEx>
          <w:tblCellMar>
            <w:top w:w="0" w:type="dxa"/>
            <w:left w:w="0" w:type="dxa"/>
            <w:bottom w:w="0" w:type="dxa"/>
            <w:right w:w="0" w:type="dxa"/>
          </w:tblCellMar>
        </w:tblPrEx>
        <w:trPr>
          <w:trHeight w:val="535" w:hRule="exact"/>
        </w:trPr>
        <w:tc>
          <w:tcPr>
            <w:tcW w:w="5812" w:type="dxa"/>
            <w:tcBorders>
              <w:top w:val="single" w:color="auto" w:sz="4" w:space="0"/>
              <w:left w:val="single" w:color="auto" w:sz="4" w:space="0"/>
              <w:bottom w:val="single" w:color="auto" w:sz="4" w:space="0"/>
              <w:right w:val="single" w:color="auto" w:sz="4" w:space="0"/>
            </w:tcBorders>
          </w:tcPr>
          <w:p w14:paraId="0C1C04A9">
            <w:pPr>
              <w:pStyle w:val="32"/>
              <w:spacing w:line="276" w:lineRule="auto"/>
              <w:ind w:left="105"/>
              <w:jc w:val="center"/>
              <w:rPr>
                <w:rFonts w:ascii="Times New Roman" w:hAnsi="Times New Roman" w:eastAsia="宋体" w:cs="宋体"/>
                <w:sz w:val="21"/>
                <w:szCs w:val="21"/>
              </w:rPr>
            </w:pPr>
            <w:r>
              <w:rPr>
                <w:rFonts w:ascii="Times New Roman" w:hAnsi="Times New Roman" w:cs="Times New Roman"/>
                <w:bCs/>
                <w:sz w:val="21"/>
                <w:szCs w:val="21"/>
              </w:rPr>
              <w:t>固定收益类资产</w:t>
            </w:r>
          </w:p>
        </w:tc>
        <w:tc>
          <w:tcPr>
            <w:tcW w:w="2468" w:type="dxa"/>
            <w:tcBorders>
              <w:top w:val="single" w:color="auto" w:sz="4" w:space="0"/>
              <w:left w:val="single" w:color="auto" w:sz="4" w:space="0"/>
              <w:bottom w:val="single" w:color="auto" w:sz="4" w:space="0"/>
              <w:right w:val="single" w:color="auto" w:sz="4" w:space="0"/>
            </w:tcBorders>
          </w:tcPr>
          <w:p w14:paraId="7114F3B7">
            <w:pPr>
              <w:pStyle w:val="32"/>
              <w:spacing w:line="276" w:lineRule="auto"/>
              <w:ind w:left="105"/>
              <w:jc w:val="center"/>
              <w:rPr>
                <w:rFonts w:ascii="Times New Roman" w:hAnsi="Times New Roman" w:eastAsia="宋体" w:cs="宋体"/>
                <w:sz w:val="21"/>
                <w:szCs w:val="21"/>
              </w:rPr>
            </w:pPr>
            <w:r>
              <w:rPr>
                <w:rFonts w:hint="eastAsia" w:ascii="Times New Roman" w:hAnsi="Times New Roman"/>
                <w:bCs/>
                <w:szCs w:val="21"/>
              </w:rPr>
              <w:t>100%</w:t>
            </w:r>
          </w:p>
        </w:tc>
      </w:tr>
    </w:tbl>
    <w:p w14:paraId="0F16E42F">
      <w:pPr>
        <w:spacing w:line="276" w:lineRule="auto"/>
        <w:ind w:firstLine="420" w:firstLineChars="200"/>
        <w:rPr>
          <w:rFonts w:ascii="Times New Roman" w:hAnsi="Times New Roman"/>
          <w:bCs/>
          <w:szCs w:val="21"/>
        </w:rPr>
      </w:pPr>
      <w:r>
        <w:rPr>
          <w:rFonts w:hint="eastAsia" w:ascii="Times New Roman" w:hAnsi="Times New Roman"/>
          <w:bCs/>
          <w:szCs w:val="21"/>
        </w:rPr>
        <w:t>渝农商理财有限责任公司有权根据市场情况调整投资范围、投资资产种类或投资比例，并进行相应披露。</w:t>
      </w:r>
      <w:r>
        <w:rPr>
          <w:rStyle w:val="20"/>
          <w:rFonts w:hint="eastAsia"/>
        </w:rPr>
        <w:t>高风险资产类型超出以上投资比例范围的，将先取得投资者同意。</w:t>
      </w:r>
      <w:r>
        <w:rPr>
          <w:rFonts w:ascii="Times New Roman" w:hAnsi="Times New Roman"/>
          <w:bCs/>
          <w:szCs w:val="21"/>
        </w:rPr>
        <w:t>非因</w:t>
      </w:r>
      <w:r>
        <w:rPr>
          <w:rFonts w:hint="eastAsia" w:ascii="Times New Roman" w:hAnsi="Times New Roman"/>
          <w:bCs/>
          <w:szCs w:val="21"/>
        </w:rPr>
        <w:t>渝农商理财有限责任公司</w:t>
      </w:r>
      <w:r>
        <w:rPr>
          <w:rFonts w:ascii="Times New Roman" w:hAnsi="Times New Roman"/>
          <w:bCs/>
          <w:szCs w:val="21"/>
        </w:rPr>
        <w:t>主观因素导致突破前述比例限制的，</w:t>
      </w:r>
      <w:r>
        <w:rPr>
          <w:rFonts w:hint="eastAsia" w:ascii="Times New Roman" w:hAnsi="Times New Roman"/>
          <w:bCs/>
          <w:szCs w:val="21"/>
        </w:rPr>
        <w:t>渝农商理财有限责任公司</w:t>
      </w:r>
      <w:r>
        <w:rPr>
          <w:rFonts w:ascii="Times New Roman" w:hAnsi="Times New Roman"/>
          <w:bCs/>
          <w:szCs w:val="21"/>
        </w:rPr>
        <w:t>将在流动性受限资产可出售、可转让或者恢复交易的15个</w:t>
      </w:r>
      <w:r>
        <w:rPr>
          <w:rFonts w:hint="eastAsia" w:ascii="Times New Roman" w:hAnsi="Times New Roman"/>
          <w:bCs/>
          <w:szCs w:val="21"/>
        </w:rPr>
        <w:t>交易日</w:t>
      </w:r>
      <w:r>
        <w:rPr>
          <w:rFonts w:ascii="Times New Roman" w:hAnsi="Times New Roman"/>
          <w:bCs/>
          <w:szCs w:val="21"/>
        </w:rPr>
        <w:t>内调整至符合相关要求</w:t>
      </w:r>
      <w:bookmarkStart w:id="11" w:name="_Hlk154677212"/>
      <w:r>
        <w:rPr>
          <w:rFonts w:hint="eastAsia" w:ascii="Times New Roman" w:hAnsi="Times New Roman"/>
          <w:bCs/>
          <w:szCs w:val="21"/>
        </w:rPr>
        <w:t>，法律法规或监管部门另有规定的以其规定为准</w:t>
      </w:r>
      <w:bookmarkEnd w:id="11"/>
      <w:r>
        <w:rPr>
          <w:rFonts w:ascii="Times New Roman" w:hAnsi="Times New Roman"/>
          <w:bCs/>
          <w:szCs w:val="21"/>
        </w:rPr>
        <w:t>。</w:t>
      </w:r>
    </w:p>
    <w:p w14:paraId="275A7AE0">
      <w:pPr>
        <w:spacing w:line="276" w:lineRule="auto"/>
        <w:ind w:firstLine="420" w:firstLineChars="200"/>
        <w:rPr>
          <w:rFonts w:ascii="Times New Roman" w:hAnsi="Times New Roman"/>
          <w:bCs/>
          <w:szCs w:val="21"/>
        </w:rPr>
      </w:pPr>
      <w:r>
        <w:rPr>
          <w:rFonts w:hint="eastAsia" w:ascii="Times New Roman" w:hAnsi="Times New Roman"/>
          <w:bCs/>
          <w:szCs w:val="21"/>
        </w:rPr>
        <w:t>本产品为固定收益类产品，本产品的投资市场主要为全国银行间债券市场、证券交易所等流动性较好的规范型交易场所，主要投资对象为具有良好流动性的金融工具，可以支持本产品的投资和应对日常申赎的需要，</w:t>
      </w:r>
      <w:r>
        <w:rPr>
          <w:rFonts w:hint="eastAsia" w:ascii="Times New Roman" w:hAnsi="Times New Roman"/>
          <w:b/>
          <w:szCs w:val="21"/>
        </w:rPr>
        <w:t>综合评估在正常市场环境下本产品的流动性风险适中。极端情况下，存在部分债券、股票等投资品种交投不活跃、成交量不足的情形，特定标的难以以合理价格变现，可能会影响本产品的流动性。</w:t>
      </w:r>
      <w:r>
        <w:rPr>
          <w:rFonts w:hint="eastAsia" w:ascii="Times New Roman" w:hAnsi="Times New Roman"/>
          <w:bCs/>
          <w:szCs w:val="21"/>
        </w:rPr>
        <w:t>产品管理人基于分散投资的原则避免在行业、个券方面具有过高集中度，并结合各类投资标的的预期流动性合理进行资产配置，最大程度防范流动性风险。</w:t>
      </w:r>
    </w:p>
    <w:p w14:paraId="5B50F218">
      <w:pPr>
        <w:spacing w:line="276" w:lineRule="auto"/>
        <w:ind w:firstLine="422" w:firstLineChars="200"/>
        <w:rPr>
          <w:rFonts w:ascii="Times New Roman" w:hAnsi="Times New Roman"/>
          <w:b/>
          <w:szCs w:val="21"/>
        </w:rPr>
      </w:pPr>
      <w:r>
        <w:rPr>
          <w:rFonts w:hint="eastAsia" w:ascii="Times New Roman" w:hAnsi="Times New Roman"/>
          <w:b/>
          <w:szCs w:val="21"/>
        </w:rPr>
        <w:t>特别提示：</w:t>
      </w:r>
    </w:p>
    <w:p w14:paraId="77BD6182">
      <w:pPr>
        <w:spacing w:line="276" w:lineRule="auto"/>
        <w:ind w:firstLine="422" w:firstLineChars="200"/>
        <w:rPr>
          <w:rFonts w:ascii="Times New Roman" w:hAnsi="Times New Roman"/>
          <w:b/>
          <w:bCs/>
          <w:szCs w:val="21"/>
        </w:rPr>
      </w:pPr>
      <w:r>
        <w:rPr>
          <w:rFonts w:hint="eastAsia" w:ascii="Times New Roman" w:hAnsi="Times New Roman"/>
          <w:b/>
          <w:szCs w:val="21"/>
        </w:rPr>
        <w:t>渝农商理财有限责任公司</w:t>
      </w:r>
      <w:r>
        <w:rPr>
          <w:rFonts w:hint="eastAsia" w:ascii="Times New Roman" w:hAnsi="Times New Roman"/>
          <w:b/>
          <w:bCs/>
          <w:szCs w:val="21"/>
        </w:rPr>
        <w:t>将本着诚实信用、谨慎勤勉的原则，在规定的范围内运用理财资金进行投资，本产品投资的资产面临各类市场风险（详见风险揭示书），渝农商理财有限责任公司不保证理财本金的安全及理财收益的实现。</w:t>
      </w:r>
    </w:p>
    <w:p w14:paraId="7961F6AD">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三、理财产品认购、申购</w:t>
      </w:r>
    </w:p>
    <w:p w14:paraId="66E7C9F4">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（一）认购</w:t>
      </w:r>
      <w:r>
        <w:rPr>
          <w:rFonts w:ascii="Times New Roman" w:hAnsi="Times New Roman"/>
          <w:b/>
          <w:szCs w:val="21"/>
        </w:rPr>
        <w:tab/>
      </w:r>
    </w:p>
    <w:p w14:paraId="13EC93B5">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、认购费率为</w:t>
      </w:r>
      <w:r>
        <w:rPr>
          <w:rFonts w:ascii="Times New Roman" w:hAnsi="Times New Roman"/>
          <w:b/>
          <w:szCs w:val="21"/>
        </w:rPr>
        <w:t>0</w:t>
      </w:r>
      <w:r>
        <w:rPr>
          <w:rFonts w:hint="eastAsia" w:ascii="Times New Roman" w:hAnsi="Times New Roman"/>
          <w:b/>
          <w:szCs w:val="21"/>
        </w:rPr>
        <w:t>％。</w:t>
      </w:r>
    </w:p>
    <w:p w14:paraId="019225FA">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2、认购份额＝[认购金额÷（</w:t>
      </w:r>
      <w:r>
        <w:rPr>
          <w:rFonts w:ascii="Times New Roman" w:hAnsi="Times New Roman"/>
          <w:bCs/>
          <w:szCs w:val="21"/>
        </w:rPr>
        <w:t>1+认购费率）</w:t>
      </w:r>
      <w:r>
        <w:rPr>
          <w:rFonts w:hint="eastAsia" w:ascii="Times New Roman" w:hAnsi="Times New Roman"/>
          <w:bCs/>
          <w:szCs w:val="21"/>
        </w:rPr>
        <w:t>]÷初始单位净值。认购份额保留至</w:t>
      </w:r>
      <w:r>
        <w:rPr>
          <w:rFonts w:ascii="Times New Roman" w:hAnsi="Times New Roman"/>
          <w:bCs/>
          <w:szCs w:val="21"/>
        </w:rPr>
        <w:t xml:space="preserve">0.01 </w:t>
      </w:r>
      <w:r>
        <w:rPr>
          <w:rFonts w:hint="eastAsia" w:ascii="Times New Roman" w:hAnsi="Times New Roman"/>
          <w:bCs/>
          <w:szCs w:val="21"/>
        </w:rPr>
        <w:t>份，小数点后两位以下四舍五入。</w:t>
      </w:r>
    </w:p>
    <w:p w14:paraId="5E3E0689">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3</w:t>
      </w:r>
      <w:r>
        <w:rPr>
          <w:rFonts w:hint="eastAsia" w:ascii="Times New Roman" w:hAnsi="Times New Roman"/>
          <w:b/>
          <w:szCs w:val="21"/>
        </w:rPr>
        <w:t>、认购申请日至产品成立日前一自然日，产品管理人不向投资者计付利息。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产品成立当天资金不计活期利息。</w:t>
      </w:r>
      <w:r>
        <w:rPr>
          <w:rFonts w:hint="eastAsia" w:ascii="Times New Roman" w:hAnsi="Times New Roman"/>
          <w:bCs/>
          <w:szCs w:val="21"/>
        </w:rPr>
        <w:t>如产品不成立，产品认购期结束日至资金到账日之间，投资者资金不计息。</w:t>
      </w:r>
    </w:p>
    <w:p w14:paraId="67D7148F">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、认购情况举例：</w:t>
      </w:r>
    </w:p>
    <w:p w14:paraId="3C1F47D3">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假定某投资者在募集期投资50,000.00元认购本产品</w:t>
      </w:r>
      <w:bookmarkStart w:id="12" w:name="_Hlk128659724"/>
      <w:r>
        <w:rPr>
          <w:rFonts w:hint="eastAsia" w:ascii="Times New Roman" w:hAnsi="Times New Roman"/>
          <w:bCs/>
          <w:szCs w:val="21"/>
        </w:rPr>
        <w:t>A份额</w:t>
      </w:r>
      <w:bookmarkEnd w:id="12"/>
      <w:r>
        <w:rPr>
          <w:rFonts w:hint="eastAsia" w:ascii="Times New Roman" w:hAnsi="Times New Roman"/>
          <w:bCs/>
          <w:szCs w:val="21"/>
        </w:rPr>
        <w:t>，则其可得到的认购份额计算如下：</w:t>
      </w:r>
    </w:p>
    <w:p w14:paraId="587528FC">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认购份额＝[50,000.00÷（1+0%）]÷1.00</w:t>
      </w:r>
      <w:r>
        <w:rPr>
          <w:rFonts w:ascii="Times New Roman" w:hAnsi="Times New Roman"/>
          <w:bCs/>
          <w:szCs w:val="21"/>
        </w:rPr>
        <w:t>00</w:t>
      </w:r>
      <w:r>
        <w:rPr>
          <w:rFonts w:hint="eastAsia" w:ascii="Times New Roman" w:hAnsi="Times New Roman"/>
          <w:bCs/>
          <w:szCs w:val="21"/>
        </w:rPr>
        <w:t>＝50,000.00份。</w:t>
      </w:r>
    </w:p>
    <w:p w14:paraId="2E1F7E23">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（二）申购</w:t>
      </w:r>
    </w:p>
    <w:p w14:paraId="5D1B938A">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、申购费率为</w:t>
      </w:r>
      <w:r>
        <w:rPr>
          <w:rFonts w:ascii="Times New Roman" w:hAnsi="Times New Roman"/>
          <w:b/>
          <w:szCs w:val="21"/>
        </w:rPr>
        <w:t>0</w:t>
      </w:r>
      <w:r>
        <w:rPr>
          <w:rFonts w:hint="eastAsia" w:ascii="Times New Roman" w:hAnsi="Times New Roman"/>
          <w:b/>
          <w:szCs w:val="21"/>
        </w:rPr>
        <w:t>％。</w:t>
      </w:r>
    </w:p>
    <w:p w14:paraId="25CBB2C0">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2、</w:t>
      </w:r>
      <w:r>
        <w:rPr>
          <w:rFonts w:ascii="Times New Roman" w:hAnsi="Times New Roman"/>
          <w:bCs/>
          <w:szCs w:val="21"/>
        </w:rPr>
        <w:t>申购份额=[申购金额</w:t>
      </w:r>
      <w:r>
        <w:rPr>
          <w:rFonts w:hint="eastAsia" w:ascii="Times New Roman" w:hAnsi="Times New Roman"/>
          <w:bCs/>
          <w:szCs w:val="21"/>
        </w:rPr>
        <w:t>÷（1+申购费率）]÷开放日</w:t>
      </w:r>
      <w:r>
        <w:rPr>
          <w:rFonts w:ascii="Times New Roman" w:hAnsi="Times New Roman"/>
          <w:bCs/>
          <w:szCs w:val="21"/>
        </w:rPr>
        <w:t>单位净值。</w:t>
      </w:r>
      <w:r>
        <w:rPr>
          <w:rFonts w:hint="eastAsia" w:ascii="Times New Roman" w:hAnsi="Times New Roman"/>
          <w:bCs/>
          <w:szCs w:val="21"/>
        </w:rPr>
        <w:t>申购份额保留至</w:t>
      </w:r>
      <w:r>
        <w:rPr>
          <w:rFonts w:ascii="Times New Roman" w:hAnsi="Times New Roman"/>
          <w:bCs/>
          <w:szCs w:val="21"/>
        </w:rPr>
        <w:t xml:space="preserve">0.01 </w:t>
      </w:r>
      <w:r>
        <w:rPr>
          <w:rFonts w:hint="eastAsia" w:ascii="Times New Roman" w:hAnsi="Times New Roman"/>
          <w:bCs/>
          <w:szCs w:val="21"/>
        </w:rPr>
        <w:t>份，小数点后两位以下四舍五入。</w:t>
      </w:r>
    </w:p>
    <w:p w14:paraId="7EBFD0A5">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3、本产品采用金额申购的方式，即申购以金额申请。</w:t>
      </w:r>
    </w:p>
    <w:p w14:paraId="12300FC2">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4</w:t>
      </w:r>
      <w:r>
        <w:rPr>
          <w:rFonts w:hint="eastAsia" w:ascii="Times New Roman" w:hAnsi="Times New Roman"/>
          <w:b/>
          <w:szCs w:val="21"/>
        </w:rPr>
        <w:t>、申购申请日至申赎确认日前一自然日，产品管理人不向投资者计付利息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申赎确认日当天资金不计活期利息。</w:t>
      </w:r>
    </w:p>
    <w:p w14:paraId="6777EC3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5、申购情况举例：</w:t>
      </w:r>
    </w:p>
    <w:p w14:paraId="1C85A3C0">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w:t>
      </w:r>
      <w:r>
        <w:rPr>
          <w:rFonts w:ascii="Times New Roman" w:hAnsi="Times New Roman"/>
          <w:bCs/>
          <w:szCs w:val="21"/>
        </w:rPr>
        <w:t>T</w:t>
      </w:r>
      <w:r>
        <w:rPr>
          <w:rFonts w:hint="eastAsia" w:ascii="Times New Roman" w:hAnsi="Times New Roman"/>
          <w:bCs/>
          <w:szCs w:val="21"/>
        </w:rPr>
        <w:t>日</w:t>
      </w:r>
      <w:bookmarkStart w:id="13" w:name="_Hlk154665088"/>
      <w:r>
        <w:rPr>
          <w:rFonts w:ascii="Times New Roman" w:hAnsi="Times New Roman"/>
          <w:bCs/>
          <w:szCs w:val="21"/>
        </w:rPr>
        <w:t>00:00-</w:t>
      </w:r>
      <w:bookmarkEnd w:id="13"/>
      <w:r>
        <w:rPr>
          <w:rFonts w:hint="eastAsia" w:ascii="Times New Roman" w:hAnsi="Times New Roman"/>
          <w:bCs/>
          <w:szCs w:val="21"/>
        </w:rPr>
        <w:t>15:30投资</w:t>
      </w:r>
      <w:r>
        <w:rPr>
          <w:rFonts w:ascii="Times New Roman" w:hAnsi="Times New Roman"/>
          <w:bCs/>
          <w:szCs w:val="21"/>
        </w:rPr>
        <w:t>50,000.00</w:t>
      </w:r>
      <w:r>
        <w:rPr>
          <w:rFonts w:hint="eastAsia" w:ascii="Times New Roman" w:hAnsi="Times New Roman"/>
          <w:bCs/>
          <w:szCs w:val="21"/>
        </w:rPr>
        <w:t>元申购本产品</w:t>
      </w:r>
      <w:bookmarkStart w:id="14" w:name="_Hlk128677690"/>
      <w:r>
        <w:rPr>
          <w:rFonts w:ascii="Times New Roman" w:hAnsi="Times New Roman"/>
          <w:bCs/>
          <w:szCs w:val="21"/>
        </w:rPr>
        <w:t>A</w:t>
      </w:r>
      <w:r>
        <w:rPr>
          <w:rFonts w:hint="eastAsia" w:ascii="Times New Roman" w:hAnsi="Times New Roman"/>
          <w:bCs/>
          <w:szCs w:val="21"/>
        </w:rPr>
        <w:t>份额</w:t>
      </w:r>
      <w:bookmarkEnd w:id="14"/>
      <w:r>
        <w:rPr>
          <w:rFonts w:hint="eastAsia" w:ascii="Times New Roman" w:hAnsi="Times New Roman"/>
          <w:bCs/>
          <w:szCs w:val="21"/>
        </w:rPr>
        <w:t>，当日本产品A份额单位净值为1.0100，则其可得到的申购份额计算如下：</w:t>
      </w:r>
    </w:p>
    <w:p w14:paraId="6AE6D8B9">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申购份额＝[50,000.00÷（1+0%）]÷1.0100＝49,504.95份。</w:t>
      </w:r>
    </w:p>
    <w:p w14:paraId="6CD5496D">
      <w:pPr>
        <w:spacing w:line="276" w:lineRule="auto"/>
        <w:ind w:firstLine="422" w:firstLineChars="200"/>
        <w:outlineLvl w:val="0"/>
        <w:rPr>
          <w:rFonts w:ascii="Times New Roman" w:hAnsi="Times New Roman"/>
          <w:b/>
          <w:szCs w:val="21"/>
        </w:rPr>
      </w:pPr>
      <w:r>
        <w:rPr>
          <w:rFonts w:hint="eastAsia" w:ascii="Times New Roman" w:hAnsi="Times New Roman"/>
          <w:b/>
          <w:szCs w:val="21"/>
        </w:rPr>
        <w:t>（三）拒绝或暂停申购的情形、处理方式和程序</w:t>
      </w:r>
    </w:p>
    <w:p w14:paraId="10EC4001">
      <w:pPr>
        <w:spacing w:line="276" w:lineRule="auto"/>
        <w:ind w:firstLine="420" w:firstLineChars="200"/>
        <w:outlineLvl w:val="0"/>
        <w:rPr>
          <w:rFonts w:ascii="Times New Roman" w:hAnsi="Times New Roman"/>
          <w:bCs/>
          <w:szCs w:val="21"/>
        </w:rPr>
      </w:pPr>
      <w:r>
        <w:rPr>
          <w:rFonts w:hint="eastAsia" w:ascii="Times New Roman" w:hAnsi="Times New Roman"/>
          <w:bCs/>
          <w:szCs w:val="21"/>
        </w:rPr>
        <w:t>当接受申购申请可能对理财产品存量投资者利益构成潜在重大不利影响时，或者基于投资运作与风险控制需要，产品管理人将依照严格审批、审慎决策的原则，及时有效地对风险进行监测和评估，并与产品托管人协商一致后，有权采取拒绝或暂停申购等措施，以及监管机构规定的其他措施，切实保护存量产品份额持有人的合法权益。</w:t>
      </w:r>
    </w:p>
    <w:p w14:paraId="693E95BF">
      <w:pPr>
        <w:numPr>
          <w:ilvl w:val="255"/>
          <w:numId w:val="0"/>
        </w:numPr>
        <w:spacing w:line="276" w:lineRule="auto"/>
        <w:ind w:firstLine="422" w:firstLineChars="200"/>
        <w:rPr>
          <w:rFonts w:ascii="Times New Roman" w:hAnsi="Times New Roman"/>
          <w:b/>
          <w:szCs w:val="21"/>
        </w:rPr>
      </w:pPr>
      <w:r>
        <w:rPr>
          <w:rFonts w:hint="eastAsia" w:ascii="Times New Roman" w:hAnsi="Times New Roman"/>
          <w:b/>
          <w:szCs w:val="21"/>
        </w:rPr>
        <w:t>发生下列情况时，产品管理人可拒绝或暂停接受投资者的申购申请：</w:t>
      </w:r>
    </w:p>
    <w:p w14:paraId="276C96D5">
      <w:pPr>
        <w:numPr>
          <w:ilvl w:val="255"/>
          <w:numId w:val="0"/>
        </w:numPr>
        <w:spacing w:line="276" w:lineRule="auto"/>
        <w:ind w:firstLine="422" w:firstLineChars="200"/>
        <w:rPr>
          <w:rFonts w:ascii="Times New Roman" w:hAnsi="Times New Roman"/>
          <w:b/>
          <w:szCs w:val="21"/>
        </w:rPr>
      </w:pPr>
      <w:r>
        <w:rPr>
          <w:rFonts w:ascii="Times New Roman" w:hAnsi="Times New Roman"/>
          <w:b/>
          <w:szCs w:val="21"/>
        </w:rPr>
        <w:t>1</w:t>
      </w:r>
      <w:r>
        <w:rPr>
          <w:rFonts w:hint="eastAsia" w:ascii="Times New Roman" w:hAnsi="Times New Roman"/>
          <w:b/>
          <w:szCs w:val="21"/>
        </w:rPr>
        <w:t>、因不可抗力导致理财产品无法正常运作；</w:t>
      </w:r>
    </w:p>
    <w:p w14:paraId="7D248B77">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2、产品管理人和产品托管人的技术保障等异常情况导致理财销售系统或会计系统无法正常运行；</w:t>
      </w:r>
    </w:p>
    <w:p w14:paraId="327627CF">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3、发生暂停理财资产估值情况时，产品管理人可暂停接受投资者的申购申请；</w:t>
      </w:r>
    </w:p>
    <w:p w14:paraId="730F7F0E">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4、证券交易所或银行间市场在交易时间非正常停市，导致产品管理人无法计算当日理财资产净值；</w:t>
      </w:r>
    </w:p>
    <w:p w14:paraId="679ECD4E">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5、其他可能对本产品运作或流动性产生负面影响，</w:t>
      </w:r>
      <w:bookmarkStart w:id="15" w:name="_Hlk154753843"/>
      <w:r>
        <w:rPr>
          <w:rFonts w:hint="eastAsia" w:ascii="Times New Roman" w:hAnsi="Times New Roman"/>
          <w:bCs/>
          <w:szCs w:val="21"/>
        </w:rPr>
        <w:t>产品管理人认为可能</w:t>
      </w:r>
      <w:bookmarkEnd w:id="15"/>
      <w:r>
        <w:rPr>
          <w:rFonts w:hint="eastAsia" w:ascii="Times New Roman" w:hAnsi="Times New Roman"/>
          <w:bCs/>
          <w:szCs w:val="21"/>
        </w:rPr>
        <w:t>损害现有产品份额持有人利益的情况；</w:t>
      </w:r>
    </w:p>
    <w:p w14:paraId="74323399">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6、法律法规规定或监管机构认定的其他情形。</w:t>
      </w:r>
    </w:p>
    <w:p w14:paraId="62807E71">
      <w:pPr>
        <w:autoSpaceDE w:val="0"/>
        <w:autoSpaceDN w:val="0"/>
        <w:adjustRightInd w:val="0"/>
        <w:spacing w:line="276" w:lineRule="auto"/>
        <w:ind w:firstLine="422" w:firstLineChars="200"/>
        <w:jc w:val="left"/>
        <w:outlineLvl w:val="0"/>
        <w:rPr>
          <w:rFonts w:ascii="Times New Roman" w:hAnsi="Times New Roman"/>
          <w:b/>
          <w:bCs/>
          <w:szCs w:val="21"/>
        </w:rPr>
      </w:pPr>
      <w:r>
        <w:rPr>
          <w:rFonts w:hint="eastAsia" w:ascii="Times New Roman" w:hAnsi="Times New Roman"/>
          <w:b/>
          <w:bCs/>
          <w:szCs w:val="21"/>
        </w:rPr>
        <w:t xml:space="preserve">四、理财产品赎回、产品终止 </w:t>
      </w:r>
    </w:p>
    <w:p w14:paraId="3FA2A4E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（一）赎回</w:t>
      </w:r>
    </w:p>
    <w:p w14:paraId="43C63490">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、赎回费率为</w:t>
      </w:r>
      <w:r>
        <w:rPr>
          <w:rFonts w:ascii="Times New Roman" w:hAnsi="Times New Roman"/>
          <w:b/>
          <w:szCs w:val="21"/>
        </w:rPr>
        <w:t>0%</w:t>
      </w:r>
      <w:r>
        <w:rPr>
          <w:rFonts w:hint="eastAsia" w:ascii="Times New Roman" w:hAnsi="Times New Roman"/>
          <w:b/>
          <w:szCs w:val="21"/>
        </w:rPr>
        <w:t>。</w:t>
      </w:r>
    </w:p>
    <w:p w14:paraId="7E3FD4D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2、本产品采用份额赎回的方式，即赎回以份额申请。</w:t>
      </w:r>
      <w:r>
        <w:rPr>
          <w:rFonts w:ascii="Times New Roman" w:hAnsi="Times New Roman"/>
          <w:bCs/>
          <w:szCs w:val="21"/>
        </w:rPr>
        <w:t>如果份额持有人某笔赎回将导致其持有的本产品</w:t>
      </w:r>
      <w:r>
        <w:rPr>
          <w:rFonts w:hint="eastAsia" w:ascii="Times New Roman" w:hAnsi="Times New Roman"/>
          <w:bCs/>
          <w:szCs w:val="21"/>
        </w:rPr>
        <w:t>某一份额类别</w:t>
      </w:r>
      <w:r>
        <w:rPr>
          <w:rFonts w:ascii="Times New Roman" w:hAnsi="Times New Roman"/>
          <w:bCs/>
          <w:szCs w:val="21"/>
        </w:rPr>
        <w:t>份额不足</w:t>
      </w:r>
      <w:bookmarkStart w:id="16" w:name="_Hlk38478815"/>
      <w:r>
        <w:rPr>
          <w:rFonts w:hint="eastAsia" w:ascii="Times New Roman" w:hAnsi="Times New Roman"/>
          <w:bCs/>
          <w:szCs w:val="21"/>
        </w:rPr>
        <w:t>该份额类别最低保留份额</w:t>
      </w:r>
      <w:r>
        <w:rPr>
          <w:rFonts w:ascii="Times New Roman" w:hAnsi="Times New Roman"/>
          <w:bCs/>
          <w:szCs w:val="21"/>
        </w:rPr>
        <w:t>的</w:t>
      </w:r>
      <w:bookmarkEnd w:id="16"/>
      <w:r>
        <w:rPr>
          <w:rFonts w:ascii="Times New Roman" w:hAnsi="Times New Roman"/>
          <w:bCs/>
          <w:szCs w:val="21"/>
        </w:rPr>
        <w:t>，在赎回时需一次全部赎回</w:t>
      </w:r>
      <w:r>
        <w:rPr>
          <w:rFonts w:hint="eastAsia" w:ascii="Times New Roman" w:hAnsi="Times New Roman"/>
          <w:bCs/>
          <w:szCs w:val="21"/>
        </w:rPr>
        <w:t>该份额类别</w:t>
      </w:r>
      <w:r>
        <w:rPr>
          <w:rFonts w:ascii="Times New Roman" w:hAnsi="Times New Roman"/>
          <w:bCs/>
          <w:szCs w:val="21"/>
        </w:rPr>
        <w:t>。</w:t>
      </w:r>
    </w:p>
    <w:p w14:paraId="2293C90E">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3、赎回金额＝赎回份额×开放日单位净值×（1-赎回费率）。赎回金额保留至</w:t>
      </w:r>
      <w:r>
        <w:rPr>
          <w:rFonts w:ascii="Times New Roman" w:hAnsi="Times New Roman"/>
          <w:bCs/>
          <w:szCs w:val="21"/>
        </w:rPr>
        <w:t>0.01元</w:t>
      </w:r>
      <w:r>
        <w:rPr>
          <w:rFonts w:hint="eastAsia" w:ascii="Times New Roman" w:hAnsi="Times New Roman"/>
          <w:bCs/>
          <w:szCs w:val="21"/>
        </w:rPr>
        <w:t>，小数点后两位以下四舍五入。</w:t>
      </w:r>
    </w:p>
    <w:p w14:paraId="2CE4BF2F">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、赎回确认日至资金到账日，投资者赎回金额不计息。</w:t>
      </w:r>
    </w:p>
    <w:p w14:paraId="4DF5A0E6">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、赎回情况举例：</w:t>
      </w:r>
    </w:p>
    <w:p w14:paraId="59766CCA">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假定某投资者持有</w:t>
      </w:r>
      <w:r>
        <w:rPr>
          <w:rFonts w:ascii="Times New Roman" w:hAnsi="Times New Roman"/>
          <w:bCs/>
          <w:szCs w:val="21"/>
        </w:rPr>
        <w:t>100,000.00</w:t>
      </w:r>
      <w:r>
        <w:rPr>
          <w:rFonts w:hint="eastAsia" w:ascii="Times New Roman" w:hAnsi="Times New Roman"/>
          <w:bCs/>
          <w:szCs w:val="21"/>
        </w:rPr>
        <w:t>份本产品</w:t>
      </w:r>
      <w:r>
        <w:rPr>
          <w:rFonts w:ascii="Times New Roman" w:hAnsi="Times New Roman"/>
          <w:bCs/>
          <w:szCs w:val="21"/>
        </w:rPr>
        <w:t>A</w:t>
      </w:r>
      <w:r>
        <w:rPr>
          <w:rFonts w:hint="eastAsia" w:ascii="Times New Roman" w:hAnsi="Times New Roman"/>
          <w:bCs/>
          <w:szCs w:val="21"/>
        </w:rPr>
        <w:t>份额，于开放日</w:t>
      </w:r>
      <w:r>
        <w:rPr>
          <w:rFonts w:ascii="Times New Roman" w:hAnsi="Times New Roman"/>
          <w:bCs/>
          <w:szCs w:val="21"/>
        </w:rPr>
        <w:t>00:00-</w:t>
      </w:r>
      <w:r>
        <w:rPr>
          <w:rFonts w:hint="eastAsia" w:ascii="Times New Roman" w:hAnsi="Times New Roman"/>
          <w:bCs/>
          <w:szCs w:val="21"/>
        </w:rPr>
        <w:t>15:30全额赎回，当日本产品</w:t>
      </w:r>
      <w:r>
        <w:rPr>
          <w:rFonts w:ascii="Times New Roman" w:hAnsi="Times New Roman"/>
          <w:bCs/>
          <w:szCs w:val="21"/>
        </w:rPr>
        <w:t>A</w:t>
      </w:r>
      <w:r>
        <w:rPr>
          <w:rFonts w:hint="eastAsia" w:ascii="Times New Roman" w:hAnsi="Times New Roman"/>
          <w:bCs/>
          <w:szCs w:val="21"/>
        </w:rPr>
        <w:t>份额单位净值为1.0100，则申赎确认日确认的赎回金额计算如下：</w:t>
      </w:r>
    </w:p>
    <w:p w14:paraId="2D51AD26">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赎回金额=</w:t>
      </w:r>
      <w:r>
        <w:rPr>
          <w:rFonts w:ascii="Times New Roman" w:hAnsi="Times New Roman"/>
          <w:bCs/>
          <w:szCs w:val="21"/>
        </w:rPr>
        <w:t>10</w:t>
      </w:r>
      <w:r>
        <w:rPr>
          <w:rFonts w:hint="eastAsia" w:ascii="Times New Roman" w:hAnsi="Times New Roman"/>
          <w:bCs/>
          <w:szCs w:val="21"/>
        </w:rPr>
        <w:t>0,000.00×1.0100×（1-0%）=</w:t>
      </w:r>
      <w:r>
        <w:rPr>
          <w:rFonts w:ascii="Times New Roman" w:hAnsi="Times New Roman"/>
          <w:bCs/>
          <w:szCs w:val="21"/>
        </w:rPr>
        <w:t>101</w:t>
      </w:r>
      <w:r>
        <w:rPr>
          <w:rFonts w:hint="eastAsia" w:ascii="Times New Roman" w:hAnsi="Times New Roman"/>
          <w:bCs/>
          <w:szCs w:val="21"/>
        </w:rPr>
        <w:t>,000.00元</w:t>
      </w:r>
    </w:p>
    <w:p w14:paraId="1A7CB96C">
      <w:pPr>
        <w:spacing w:line="276" w:lineRule="auto"/>
        <w:ind w:firstLine="422" w:firstLineChars="200"/>
        <w:outlineLvl w:val="0"/>
        <w:rPr>
          <w:rFonts w:ascii="Times New Roman" w:hAnsi="Times New Roman"/>
          <w:b/>
          <w:szCs w:val="21"/>
        </w:rPr>
      </w:pPr>
      <w:r>
        <w:rPr>
          <w:rFonts w:hint="eastAsia" w:ascii="Times New Roman" w:hAnsi="Times New Roman"/>
          <w:b/>
          <w:szCs w:val="21"/>
        </w:rPr>
        <w:t>（二）暂停赎回或延缓支付赎回款项的情形、处理方式和程序</w:t>
      </w:r>
    </w:p>
    <w:p w14:paraId="557C4222">
      <w:pPr>
        <w:spacing w:line="276" w:lineRule="auto"/>
        <w:ind w:firstLine="420" w:firstLineChars="200"/>
        <w:outlineLvl w:val="0"/>
        <w:rPr>
          <w:rFonts w:ascii="Times New Roman" w:hAnsi="Times New Roman"/>
          <w:bCs/>
          <w:szCs w:val="21"/>
        </w:rPr>
      </w:pPr>
      <w:r>
        <w:rPr>
          <w:rFonts w:hint="eastAsia" w:ascii="Times New Roman" w:hAnsi="Times New Roman"/>
          <w:bCs/>
          <w:szCs w:val="21"/>
        </w:rPr>
        <w:t>当接受赎回申请可能对理财产品存量投资者利益构成潜在重大不利影响时，或者基于投资运作与风险控制需要，产品管理人将依照严格审批、审慎决策的原则，及时有效地对风险进行监测和评估，并与产品托管人协商一致后，有权采取暂停接受赎回申请、对已经接受的赎回申请延缓支付赎回款项等措施，以及监管机构规定的其他措施，切实保护存量产品份额持有人的合法权益。</w:t>
      </w:r>
    </w:p>
    <w:p w14:paraId="64320CD2">
      <w:pPr>
        <w:numPr>
          <w:ilvl w:val="255"/>
          <w:numId w:val="0"/>
        </w:numPr>
        <w:spacing w:line="276" w:lineRule="auto"/>
        <w:ind w:firstLine="422" w:firstLineChars="200"/>
        <w:rPr>
          <w:rFonts w:ascii="Times New Roman" w:hAnsi="Times New Roman"/>
          <w:b/>
          <w:szCs w:val="21"/>
        </w:rPr>
      </w:pPr>
      <w:r>
        <w:rPr>
          <w:rFonts w:hint="eastAsia" w:ascii="Times New Roman" w:hAnsi="Times New Roman"/>
          <w:b/>
          <w:szCs w:val="21"/>
        </w:rPr>
        <w:t>发生下列情形时，产品管理人可暂停接受投资者的赎回申请或延缓支付赎回款项：</w:t>
      </w:r>
    </w:p>
    <w:p w14:paraId="72D68877">
      <w:pPr>
        <w:numPr>
          <w:ilvl w:val="255"/>
          <w:numId w:val="0"/>
        </w:numPr>
        <w:spacing w:line="276" w:lineRule="auto"/>
        <w:ind w:firstLine="422" w:firstLineChars="200"/>
        <w:rPr>
          <w:rFonts w:ascii="Times New Roman" w:hAnsi="Times New Roman"/>
          <w:b/>
          <w:szCs w:val="21"/>
        </w:rPr>
      </w:pPr>
      <w:r>
        <w:rPr>
          <w:rFonts w:ascii="Times New Roman" w:hAnsi="Times New Roman"/>
          <w:b/>
          <w:szCs w:val="21"/>
        </w:rPr>
        <w:t>1</w:t>
      </w:r>
      <w:r>
        <w:rPr>
          <w:rFonts w:hint="eastAsia" w:ascii="Times New Roman" w:hAnsi="Times New Roman"/>
          <w:b/>
          <w:szCs w:val="21"/>
        </w:rPr>
        <w:t>、因不可抗力导致产品管理人不能支付赎回款项；</w:t>
      </w:r>
    </w:p>
    <w:p w14:paraId="42FBCF26">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2、产品管理人和产品托管人的技术保障等异常情况导致理财销售系统或会计系统无法正常运行；</w:t>
      </w:r>
    </w:p>
    <w:p w14:paraId="6B6C1A14">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3、发生暂停理财资产估值情况时，产品管理人可暂停接受投资人的赎回申请或延缓支付赎回款项；</w:t>
      </w:r>
    </w:p>
    <w:p w14:paraId="06E09416">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4、证券交易所或银行间市场在交易时间非正常停市，导致产品管理人无法计算当日理财资产净值；</w:t>
      </w:r>
    </w:p>
    <w:p w14:paraId="268A37C6">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5、证券交易所或银行间市场出现异常市场情况，管理人无法开展产品的流动性管理；</w:t>
      </w:r>
    </w:p>
    <w:p w14:paraId="5263AD82">
      <w:pPr>
        <w:numPr>
          <w:ilvl w:val="255"/>
          <w:numId w:val="0"/>
        </w:numPr>
        <w:spacing w:line="276" w:lineRule="auto"/>
        <w:ind w:firstLine="420" w:firstLineChars="200"/>
        <w:rPr>
          <w:rFonts w:ascii="Times New Roman" w:hAnsi="Times New Roman"/>
          <w:bCs/>
          <w:szCs w:val="21"/>
        </w:rPr>
      </w:pPr>
      <w:r>
        <w:rPr>
          <w:rFonts w:ascii="Times New Roman" w:hAnsi="Times New Roman"/>
          <w:bCs/>
          <w:szCs w:val="21"/>
        </w:rPr>
        <w:t>6</w:t>
      </w:r>
      <w:r>
        <w:rPr>
          <w:rFonts w:hint="eastAsia" w:ascii="Times New Roman" w:hAnsi="Times New Roman"/>
          <w:bCs/>
          <w:szCs w:val="21"/>
        </w:rPr>
        <w:t>、连续两个或两个以上开放日发生巨额赎回，产品管理人有权在下一开放日暂停该理财计划的赎回申请。对于已经接受的赎回申请，产品管理人可以延缓支付赎回款项，但延缓期限不得超过20个工作日；</w:t>
      </w:r>
    </w:p>
    <w:p w14:paraId="204CA777">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7、</w:t>
      </w:r>
      <w:r>
        <w:rPr>
          <w:rFonts w:hint="eastAsia"/>
        </w:rPr>
        <w:t>当</w:t>
      </w:r>
      <w:r>
        <w:rPr>
          <w:rFonts w:hint="eastAsia" w:ascii="Times New Roman" w:hAnsi="Times New Roman"/>
          <w:bCs/>
          <w:szCs w:val="21"/>
        </w:rPr>
        <w:t>前一估值日产品资产净值50%以上的资产不具备活跃交易市场或者在活跃市场中无报价，且不能采用估值技术可靠计量公允价值时；</w:t>
      </w:r>
    </w:p>
    <w:p w14:paraId="08CF48F8">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8、其他可能对本产品运作或流动性产生负面影响，产品管理人认为可能损害现有产品份额持有人利益的情况；</w:t>
      </w:r>
    </w:p>
    <w:p w14:paraId="397F59CD">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9、法律法规规定或监管机构认定的其他情形。</w:t>
      </w:r>
    </w:p>
    <w:p w14:paraId="0F04D701">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（三）终止、</w:t>
      </w:r>
      <w:r>
        <w:rPr>
          <w:rFonts w:hint="eastAsia" w:ascii="Times New Roman" w:hAnsi="Times New Roman"/>
          <w:b/>
          <w:szCs w:val="21"/>
        </w:rPr>
        <w:t>提前终止</w:t>
      </w:r>
    </w:p>
    <w:p w14:paraId="5C9758B2">
      <w:pPr>
        <w:widowControl/>
        <w:spacing w:line="276" w:lineRule="auto"/>
        <w:ind w:firstLine="420"/>
        <w:jc w:val="left"/>
        <w:rPr>
          <w:rFonts w:ascii="Times New Roman" w:hAnsi="Times New Roman" w:cs="宋体"/>
          <w:szCs w:val="21"/>
        </w:rPr>
      </w:pPr>
      <w:r>
        <w:rPr>
          <w:rFonts w:ascii="Times New Roman" w:hAnsi="Times New Roman"/>
          <w:bCs/>
          <w:szCs w:val="21"/>
        </w:rPr>
        <w:t>1</w:t>
      </w:r>
      <w:r>
        <w:rPr>
          <w:rFonts w:hint="eastAsia" w:ascii="Times New Roman" w:hAnsi="Times New Roman"/>
          <w:bCs/>
          <w:szCs w:val="21"/>
        </w:rPr>
        <w:t>、</w:t>
      </w:r>
      <w:r>
        <w:rPr>
          <w:rFonts w:hint="eastAsia" w:ascii="Times New Roman" w:hAnsi="Times New Roman" w:cs="宋体"/>
          <w:szCs w:val="21"/>
        </w:rPr>
        <w:t>本理财产品期限无固定期限，</w:t>
      </w:r>
      <w:r>
        <w:rPr>
          <w:rFonts w:ascii="Times New Roman" w:hAnsi="Times New Roman" w:cs="宋体"/>
          <w:szCs w:val="21"/>
        </w:rPr>
        <w:t>当理财产品</w:t>
      </w:r>
      <w:r>
        <w:rPr>
          <w:rFonts w:hint="eastAsia" w:ascii="Times New Roman" w:hAnsi="Times New Roman" w:cs="宋体"/>
          <w:szCs w:val="21"/>
        </w:rPr>
        <w:t>规模</w:t>
      </w:r>
      <w:r>
        <w:rPr>
          <w:rFonts w:ascii="Times New Roman" w:hAnsi="Times New Roman" w:cs="宋体"/>
          <w:szCs w:val="21"/>
        </w:rPr>
        <w:t>低于</w:t>
      </w:r>
      <w:r>
        <w:rPr>
          <w:rFonts w:hint="eastAsia" w:ascii="Times New Roman" w:hAnsi="Times New Roman" w:cs="宋体"/>
          <w:szCs w:val="21"/>
        </w:rPr>
        <w:t>规模下限</w:t>
      </w:r>
      <w:r>
        <w:rPr>
          <w:rFonts w:ascii="Times New Roman" w:hAnsi="Times New Roman" w:cs="宋体"/>
          <w:szCs w:val="21"/>
        </w:rPr>
        <w:t>时</w:t>
      </w:r>
      <w:r>
        <w:rPr>
          <w:rFonts w:hint="eastAsia" w:ascii="Times New Roman" w:hAnsi="Times New Roman" w:cs="宋体"/>
          <w:szCs w:val="21"/>
        </w:rPr>
        <w:t>或法律法规规定的其他情形导致产品终止时</w:t>
      </w:r>
      <w:r>
        <w:rPr>
          <w:rFonts w:ascii="Times New Roman" w:hAnsi="Times New Roman" w:cs="宋体"/>
          <w:szCs w:val="21"/>
        </w:rPr>
        <w:t>，理财产品管理人有权终止理财产品。</w:t>
      </w:r>
    </w:p>
    <w:p w14:paraId="3911F8EC">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cs="宋体"/>
          <w:b/>
          <w:bCs/>
          <w:szCs w:val="21"/>
        </w:rPr>
        <w:t>2</w:t>
      </w:r>
      <w:r>
        <w:rPr>
          <w:rFonts w:hint="eastAsia" w:ascii="Times New Roman" w:hAnsi="Times New Roman" w:cs="宋体"/>
          <w:b/>
          <w:bCs/>
          <w:szCs w:val="21"/>
        </w:rPr>
        <w:t>、</w:t>
      </w:r>
      <w:r>
        <w:rPr>
          <w:rFonts w:hint="eastAsia" w:ascii="Times New Roman" w:hAnsi="Times New Roman"/>
          <w:b/>
          <w:bCs/>
          <w:szCs w:val="21"/>
        </w:rPr>
        <w:t>在理财产品投资运作期间内，除正常</w:t>
      </w:r>
      <w:r>
        <w:rPr>
          <w:rFonts w:hint="eastAsia" w:ascii="Times New Roman" w:hAnsi="Times New Roman" w:cs="宋体"/>
          <w:b/>
          <w:bCs/>
          <w:szCs w:val="21"/>
        </w:rPr>
        <w:t>赎回外，投资者</w:t>
      </w:r>
      <w:r>
        <w:rPr>
          <w:rFonts w:hint="eastAsia" w:ascii="Times New Roman" w:hAnsi="Times New Roman"/>
          <w:b/>
          <w:bCs/>
          <w:szCs w:val="21"/>
        </w:rPr>
        <w:t>无权要求提前终止该理财产品；当相关政策出现重大调整、市场出现剧烈波动、投资标的提前到期或发生其他渝农商理财有限责任公司认为需要提前终止本理财产品</w:t>
      </w:r>
      <w:bookmarkStart w:id="17" w:name="_Hlk128659748"/>
      <w:r>
        <w:rPr>
          <w:rFonts w:hint="eastAsia" w:ascii="Times New Roman" w:hAnsi="Times New Roman"/>
          <w:b/>
          <w:szCs w:val="21"/>
        </w:rPr>
        <w:t>或本理财产品某一份额类别</w:t>
      </w:r>
      <w:bookmarkEnd w:id="17"/>
      <w:r>
        <w:rPr>
          <w:rFonts w:hint="eastAsia" w:ascii="Times New Roman" w:hAnsi="Times New Roman"/>
          <w:b/>
          <w:bCs/>
          <w:szCs w:val="21"/>
        </w:rPr>
        <w:t>等情况，渝农商理财有限责任公司有权部分或全部提前终止本理财产品</w:t>
      </w:r>
      <w:bookmarkStart w:id="18" w:name="_Hlk128659765"/>
      <w:r>
        <w:rPr>
          <w:rFonts w:hint="eastAsia" w:ascii="Times New Roman" w:hAnsi="Times New Roman"/>
          <w:b/>
          <w:bCs/>
          <w:szCs w:val="21"/>
        </w:rPr>
        <w:t>或本理财产品某一份额类别</w:t>
      </w:r>
      <w:bookmarkEnd w:id="18"/>
      <w:r>
        <w:rPr>
          <w:rFonts w:hint="eastAsia" w:ascii="Times New Roman" w:hAnsi="Times New Roman"/>
          <w:b/>
          <w:bCs/>
          <w:szCs w:val="21"/>
        </w:rPr>
        <w:t>。</w:t>
      </w:r>
      <w:r>
        <w:rPr>
          <w:rFonts w:hint="eastAsia" w:ascii="Times New Roman" w:hAnsi="Times New Roman"/>
          <w:bCs/>
          <w:szCs w:val="21"/>
        </w:rPr>
        <w:t>如本产品</w:t>
      </w:r>
      <w:bookmarkStart w:id="19" w:name="_Hlk128659772"/>
      <w:r>
        <w:rPr>
          <w:rFonts w:hint="eastAsia" w:ascii="Times New Roman" w:hAnsi="Times New Roman"/>
          <w:bCs/>
          <w:szCs w:val="21"/>
        </w:rPr>
        <w:t>或某一份额类别</w:t>
      </w:r>
      <w:bookmarkEnd w:id="19"/>
      <w:r>
        <w:rPr>
          <w:rFonts w:hint="eastAsia" w:ascii="Times New Roman" w:hAnsi="Times New Roman"/>
          <w:bCs/>
          <w:szCs w:val="21"/>
        </w:rPr>
        <w:t>提前终止，</w:t>
      </w:r>
      <w:r>
        <w:rPr>
          <w:rFonts w:hint="eastAsia" w:ascii="Times New Roman" w:hAnsi="Times New Roman"/>
          <w:szCs w:val="21"/>
        </w:rPr>
        <w:t>渝农商理财有限责任公司</w:t>
      </w:r>
      <w:r>
        <w:rPr>
          <w:rFonts w:hint="eastAsia" w:ascii="Times New Roman" w:hAnsi="Times New Roman"/>
          <w:bCs/>
          <w:szCs w:val="21"/>
        </w:rPr>
        <w:t>将在提前终止日前2个工作日，通过</w:t>
      </w:r>
      <w:r>
        <w:fldChar w:fldCharType="begin"/>
      </w:r>
      <w:r>
        <w:instrText xml:space="preserve"> HYPERLINK </w:instrText>
      </w:r>
      <w:r>
        <w:fldChar w:fldCharType="separate"/>
      </w:r>
      <w:r>
        <w:fldChar w:fldCharType="end"/>
      </w:r>
      <w:r>
        <w:rPr>
          <w:rFonts w:hint="eastAsia" w:ascii="Times New Roman" w:hAnsi="Times New Roman"/>
          <w:bCs/>
          <w:szCs w:val="21"/>
        </w:rPr>
        <w:t>约定的信息披露渠道发布相关信息，并于提前终止日后2个交易日内将</w:t>
      </w:r>
      <w:r>
        <w:rPr>
          <w:rFonts w:hint="eastAsia" w:ascii="Times New Roman" w:hAnsi="Times New Roman" w:cs="宋体"/>
          <w:szCs w:val="21"/>
        </w:rPr>
        <w:t>投资者资金划转至投资者账</w:t>
      </w:r>
      <w:r>
        <w:rPr>
          <w:rFonts w:hint="eastAsia" w:ascii="Times New Roman" w:hAnsi="Times New Roman"/>
          <w:bCs/>
          <w:szCs w:val="21"/>
        </w:rPr>
        <w:t>户，若本产品通过代理销售机构渠道销售的，具体到账时间以投资者与代理销售机构的约定为准。提前终止日至资金到账日之间，投资者资金不计息。</w:t>
      </w:r>
    </w:p>
    <w:p w14:paraId="04A8A045">
      <w:pPr>
        <w:autoSpaceDE w:val="0"/>
        <w:autoSpaceDN w:val="0"/>
        <w:adjustRightInd w:val="0"/>
        <w:spacing w:line="276" w:lineRule="auto"/>
        <w:ind w:firstLine="422" w:firstLineChars="200"/>
        <w:jc w:val="left"/>
        <w:outlineLvl w:val="0"/>
        <w:rPr>
          <w:rFonts w:ascii="Times New Roman" w:hAnsi="Times New Roman"/>
          <w:b/>
          <w:bCs/>
          <w:szCs w:val="21"/>
        </w:rPr>
      </w:pPr>
      <w:r>
        <w:rPr>
          <w:rFonts w:hint="eastAsia" w:ascii="Times New Roman" w:hAnsi="Times New Roman"/>
          <w:b/>
          <w:bCs/>
          <w:szCs w:val="21"/>
        </w:rPr>
        <w:t>五、理财产品收益计算</w:t>
      </w:r>
    </w:p>
    <w:p w14:paraId="6705295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（一）产品净值</w:t>
      </w:r>
    </w:p>
    <w:p w14:paraId="578FD1F9">
      <w:pPr>
        <w:autoSpaceDE w:val="0"/>
        <w:autoSpaceDN w:val="0"/>
        <w:adjustRightInd w:val="0"/>
        <w:spacing w:line="276" w:lineRule="auto"/>
        <w:ind w:firstLine="420" w:firstLineChars="200"/>
        <w:jc w:val="left"/>
        <w:rPr>
          <w:rFonts w:ascii="宋体" w:hAnsi="宋体"/>
          <w:bCs/>
          <w:szCs w:val="21"/>
        </w:rPr>
      </w:pPr>
      <w:r>
        <w:rPr>
          <w:rFonts w:hint="eastAsia" w:ascii="宋体" w:hAnsi="宋体"/>
          <w:bCs/>
          <w:szCs w:val="21"/>
        </w:rPr>
        <w:t>１、理财产品</w:t>
      </w:r>
      <w:bookmarkStart w:id="20" w:name="_Hlk153380854"/>
      <w:r>
        <w:rPr>
          <w:rFonts w:hint="eastAsia" w:ascii="宋体" w:hAnsi="宋体"/>
          <w:bCs/>
          <w:szCs w:val="21"/>
        </w:rPr>
        <w:t>资产净值</w:t>
      </w:r>
      <w:r>
        <w:rPr>
          <w:rFonts w:ascii="宋体" w:hAnsi="宋体"/>
          <w:bCs/>
          <w:szCs w:val="21"/>
        </w:rPr>
        <w:t>/</w:t>
      </w:r>
      <w:bookmarkEnd w:id="20"/>
      <w:r>
        <w:rPr>
          <w:rFonts w:hint="eastAsia" w:ascii="宋体" w:hAnsi="宋体"/>
          <w:bCs/>
          <w:szCs w:val="21"/>
        </w:rPr>
        <w:t>总净值</w:t>
      </w:r>
      <w:r>
        <w:rPr>
          <w:rFonts w:ascii="宋体" w:hAnsi="宋体"/>
          <w:bCs/>
          <w:szCs w:val="21"/>
        </w:rPr>
        <w:t xml:space="preserve">= </w:t>
      </w:r>
      <w:r>
        <w:rPr>
          <w:rFonts w:hint="eastAsia" w:ascii="宋体" w:hAnsi="宋体"/>
          <w:bCs/>
          <w:szCs w:val="21"/>
        </w:rPr>
        <w:t>理财产品认购、申购总金额</w:t>
      </w:r>
      <w:r>
        <w:rPr>
          <w:rFonts w:ascii="宋体" w:hAnsi="宋体"/>
          <w:bCs/>
          <w:szCs w:val="21"/>
        </w:rPr>
        <w:t>+</w:t>
      </w:r>
      <w:r>
        <w:rPr>
          <w:rFonts w:hint="eastAsia" w:ascii="宋体" w:hAnsi="宋体"/>
          <w:bCs/>
          <w:szCs w:val="21"/>
        </w:rPr>
        <w:t>理财产品所获总收益</w:t>
      </w:r>
      <w:r>
        <w:rPr>
          <w:rFonts w:ascii="宋体" w:hAnsi="宋体"/>
          <w:bCs/>
          <w:szCs w:val="21"/>
        </w:rPr>
        <w:t>-</w:t>
      </w:r>
      <w:r>
        <w:rPr>
          <w:rFonts w:hint="eastAsia" w:ascii="宋体" w:hAnsi="宋体"/>
          <w:bCs/>
          <w:szCs w:val="21"/>
        </w:rPr>
        <w:t>理财产品总费用（包括但不限于销售服务费、托管费和固定管理费等）</w:t>
      </w:r>
      <w:r>
        <w:rPr>
          <w:rFonts w:ascii="宋体" w:hAnsi="宋体"/>
          <w:bCs/>
          <w:szCs w:val="21"/>
        </w:rPr>
        <w:t>-</w:t>
      </w:r>
      <w:r>
        <w:rPr>
          <w:rFonts w:hint="eastAsia" w:ascii="宋体" w:hAnsi="宋体"/>
          <w:bCs/>
          <w:szCs w:val="21"/>
        </w:rPr>
        <w:t>理财产品累计终止、赎回和分红总金额。</w:t>
      </w:r>
    </w:p>
    <w:p w14:paraId="3E7D9ABE">
      <w:pPr>
        <w:autoSpaceDE w:val="0"/>
        <w:autoSpaceDN w:val="0"/>
        <w:adjustRightInd w:val="0"/>
        <w:spacing w:line="276" w:lineRule="auto"/>
        <w:ind w:firstLine="420" w:firstLineChars="200"/>
        <w:jc w:val="left"/>
        <w:rPr>
          <w:rFonts w:ascii="宋体" w:hAnsi="宋体"/>
          <w:bCs/>
          <w:szCs w:val="21"/>
        </w:rPr>
      </w:pPr>
      <w:r>
        <w:rPr>
          <w:rFonts w:hint="eastAsia" w:ascii="宋体" w:hAnsi="宋体"/>
          <w:bCs/>
          <w:szCs w:val="21"/>
        </w:rPr>
        <w:t>理财产品某份额类别资产净值</w:t>
      </w:r>
      <w:r>
        <w:rPr>
          <w:rFonts w:ascii="宋体" w:hAnsi="宋体"/>
          <w:bCs/>
          <w:szCs w:val="21"/>
        </w:rPr>
        <w:t>/</w:t>
      </w:r>
      <w:r>
        <w:rPr>
          <w:rFonts w:hint="eastAsia" w:ascii="宋体" w:hAnsi="宋体"/>
          <w:bCs/>
          <w:szCs w:val="21"/>
        </w:rPr>
        <w:t>总净值</w:t>
      </w:r>
      <w:r>
        <w:rPr>
          <w:rFonts w:ascii="宋体" w:hAnsi="宋体"/>
          <w:bCs/>
          <w:szCs w:val="21"/>
        </w:rPr>
        <w:t>=</w:t>
      </w:r>
      <w:r>
        <w:rPr>
          <w:rFonts w:hint="eastAsia" w:ascii="宋体" w:hAnsi="宋体"/>
          <w:bCs/>
          <w:szCs w:val="21"/>
        </w:rPr>
        <w:t>理财产品某份额类别认购、申购总金额</w:t>
      </w:r>
      <w:r>
        <w:rPr>
          <w:rFonts w:ascii="宋体" w:hAnsi="宋体"/>
          <w:bCs/>
          <w:szCs w:val="21"/>
        </w:rPr>
        <w:t>+</w:t>
      </w:r>
      <w:r>
        <w:rPr>
          <w:rFonts w:hint="eastAsia" w:ascii="宋体" w:hAnsi="宋体"/>
          <w:bCs/>
          <w:szCs w:val="21"/>
        </w:rPr>
        <w:t>理财产品某份额类别所获总收益</w:t>
      </w:r>
      <w:r>
        <w:rPr>
          <w:rFonts w:ascii="宋体" w:hAnsi="宋体"/>
          <w:bCs/>
          <w:szCs w:val="21"/>
        </w:rPr>
        <w:t>-</w:t>
      </w:r>
      <w:r>
        <w:rPr>
          <w:rFonts w:hint="eastAsia" w:ascii="宋体" w:hAnsi="宋体"/>
          <w:bCs/>
          <w:szCs w:val="21"/>
        </w:rPr>
        <w:t>理财产品某份额类别总费用（包括但不限于销售服务费、托管费和固定管理费等）</w:t>
      </w:r>
      <w:r>
        <w:rPr>
          <w:rFonts w:ascii="宋体" w:hAnsi="宋体"/>
          <w:bCs/>
          <w:szCs w:val="21"/>
        </w:rPr>
        <w:t>-</w:t>
      </w:r>
      <w:r>
        <w:rPr>
          <w:rFonts w:hint="eastAsia" w:ascii="宋体" w:hAnsi="宋体"/>
          <w:bCs/>
          <w:szCs w:val="21"/>
        </w:rPr>
        <w:t>理财产品某份额类别累计终止、赎回和分红总金额。</w:t>
      </w:r>
    </w:p>
    <w:p w14:paraId="698829FB">
      <w:pPr>
        <w:autoSpaceDE w:val="0"/>
        <w:autoSpaceDN w:val="0"/>
        <w:adjustRightInd w:val="0"/>
        <w:spacing w:line="276" w:lineRule="auto"/>
        <w:ind w:firstLine="420" w:firstLineChars="200"/>
        <w:jc w:val="left"/>
        <w:rPr>
          <w:rFonts w:ascii="Times New Roman" w:hAnsi="Times New Roman"/>
          <w:bCs/>
          <w:szCs w:val="21"/>
        </w:rPr>
      </w:pPr>
      <w:r>
        <w:rPr>
          <w:rFonts w:hint="eastAsia" w:ascii="宋体" w:hAnsi="宋体"/>
          <w:bCs/>
          <w:szCs w:val="21"/>
        </w:rPr>
        <w:t>２、理</w:t>
      </w:r>
      <w:r>
        <w:rPr>
          <w:rFonts w:hint="eastAsia" w:ascii="Times New Roman" w:hAnsi="Times New Roman"/>
          <w:bCs/>
          <w:szCs w:val="21"/>
        </w:rPr>
        <w:t>财产品单位净值/份额净值=理财产品总净值÷理财产品总存续份额。单位净值保留至小数点后四位（小数点四位以下舍位）。</w:t>
      </w:r>
    </w:p>
    <w:p w14:paraId="73849904">
      <w:pPr>
        <w:autoSpaceDE w:val="0"/>
        <w:autoSpaceDN w:val="0"/>
        <w:adjustRightInd w:val="0"/>
        <w:spacing w:line="276" w:lineRule="auto"/>
        <w:ind w:firstLine="420" w:firstLineChars="200"/>
        <w:jc w:val="left"/>
        <w:rPr>
          <w:rFonts w:ascii="Times New Roman" w:hAnsi="Times New Roman"/>
          <w:bCs/>
          <w:szCs w:val="21"/>
        </w:rPr>
      </w:pPr>
      <w:bookmarkStart w:id="21" w:name="_Hlk153281962"/>
      <w:r>
        <w:rPr>
          <w:rFonts w:hint="eastAsia" w:ascii="Times New Roman" w:hAnsi="Times New Roman"/>
          <w:bCs/>
          <w:szCs w:val="21"/>
        </w:rPr>
        <w:t>理财产品某份额类别单位净值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理财产品该份额类别总净值÷理财产品该份额类别总存续份额。单位净值保留至小数点后四位（小数点四位以下舍位）。</w:t>
      </w:r>
      <w:bookmarkEnd w:id="21"/>
    </w:p>
    <w:p w14:paraId="21D21E8E">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3、理财产品累计单位净值/份额累计净值=理财产品单位净值+历次累计单位分红。累计单位净值保留至小数点后四位（小数点四位以下舍位）。</w:t>
      </w:r>
    </w:p>
    <w:p w14:paraId="542B00BD">
      <w:pPr>
        <w:autoSpaceDE w:val="0"/>
        <w:autoSpaceDN w:val="0"/>
        <w:adjustRightInd w:val="0"/>
        <w:spacing w:line="276" w:lineRule="auto"/>
        <w:ind w:firstLine="420" w:firstLineChars="200"/>
        <w:jc w:val="left"/>
        <w:rPr>
          <w:rFonts w:ascii="Times New Roman" w:hAnsi="Times New Roman"/>
          <w:bCs/>
          <w:szCs w:val="21"/>
        </w:rPr>
      </w:pPr>
      <w:bookmarkStart w:id="22" w:name="_Hlk153281969"/>
      <w:r>
        <w:rPr>
          <w:rFonts w:hint="eastAsia" w:ascii="Times New Roman" w:hAnsi="Times New Roman"/>
          <w:bCs/>
          <w:szCs w:val="21"/>
        </w:rPr>
        <w:t>理财产品某份额类别</w:t>
      </w:r>
      <w:r>
        <w:rPr>
          <w:rFonts w:hint="eastAsia" w:ascii="Times New Roman" w:hAnsi="Times New Roman" w:eastAsiaTheme="minorEastAsia"/>
          <w:bCs/>
          <w:szCs w:val="21"/>
        </w:rPr>
        <w:t>累计单位净值</w:t>
      </w:r>
      <w:r>
        <w:rPr>
          <w:rFonts w:ascii="Times New Roman" w:hAnsi="Times New Roman" w:eastAsiaTheme="minorEastAsia"/>
          <w:bCs/>
          <w:szCs w:val="21"/>
        </w:rPr>
        <w:t>/</w:t>
      </w:r>
      <w:r>
        <w:rPr>
          <w:rFonts w:hint="eastAsia" w:ascii="Times New Roman" w:hAnsi="Times New Roman" w:eastAsiaTheme="minorEastAsia"/>
          <w:bCs/>
          <w:szCs w:val="21"/>
        </w:rPr>
        <w:t>份额累计净值</w:t>
      </w:r>
      <w:r>
        <w:rPr>
          <w:rFonts w:ascii="Times New Roman" w:hAnsi="Times New Roman"/>
          <w:bCs/>
          <w:szCs w:val="21"/>
        </w:rPr>
        <w:t>=</w:t>
      </w:r>
      <w:r>
        <w:rPr>
          <w:rFonts w:hint="eastAsia" w:ascii="Times New Roman" w:hAnsi="Times New Roman"/>
          <w:bCs/>
          <w:szCs w:val="21"/>
        </w:rPr>
        <w:t>理财产品该份额类别</w:t>
      </w:r>
      <w:r>
        <w:rPr>
          <w:rFonts w:hint="eastAsia" w:ascii="Times New Roman" w:hAnsi="Times New Roman" w:eastAsiaTheme="minorEastAsia"/>
          <w:bCs/>
          <w:szCs w:val="21"/>
        </w:rPr>
        <w:t>单位净值</w:t>
      </w:r>
      <w:r>
        <w:rPr>
          <w:rFonts w:ascii="Times New Roman" w:hAnsi="Times New Roman" w:eastAsiaTheme="minorEastAsia"/>
          <w:bCs/>
          <w:szCs w:val="21"/>
        </w:rPr>
        <w:t>+</w:t>
      </w:r>
      <w:r>
        <w:rPr>
          <w:rFonts w:hint="eastAsia" w:ascii="Times New Roman" w:hAnsi="Times New Roman"/>
          <w:bCs/>
          <w:szCs w:val="21"/>
        </w:rPr>
        <w:t>该份额类别</w:t>
      </w:r>
      <w:r>
        <w:rPr>
          <w:rFonts w:hint="eastAsia" w:ascii="Times New Roman" w:hAnsi="Times New Roman" w:eastAsiaTheme="minorEastAsia"/>
          <w:bCs/>
          <w:szCs w:val="21"/>
        </w:rPr>
        <w:t>历次累计单位分红。累计单位净值保留至小数点后四位（小数点四位以下舍位）。</w:t>
      </w:r>
      <w:bookmarkEnd w:id="22"/>
    </w:p>
    <w:p w14:paraId="50A151D7">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（二）产品费用</w:t>
      </w:r>
    </w:p>
    <w:p w14:paraId="6A42182D">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w:t>
      </w:r>
      <w:bookmarkStart w:id="23" w:name="_Hlk128659839"/>
      <w:r>
        <w:rPr>
          <w:rFonts w:hint="eastAsia" w:ascii="Times New Roman" w:hAnsi="Times New Roman"/>
          <w:b/>
          <w:szCs w:val="21"/>
        </w:rPr>
        <w:t>本产品收取销售服务费、固定管理费和托管费，各费用自产品成立日起每日计提。具体计提方式如下：</w:t>
      </w:r>
    </w:p>
    <w:p w14:paraId="0FC2501D">
      <w:pPr>
        <w:autoSpaceDE w:val="0"/>
        <w:autoSpaceDN w:val="0"/>
        <w:adjustRightInd w:val="0"/>
        <w:spacing w:line="276" w:lineRule="auto"/>
        <w:ind w:left="181" w:leftChars="86"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）销售服务费：A份额为0.30%，B份额为0.30%，C份额为0.30%，D份额为0.30%，E份额为0.30%，F份额为0.30%，G份额为0.30%，H份额为0.30%，I份额为0.30%，各费用率均为年化数值。以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份额每日应计提的销售服务费</w:t>
      </w:r>
      <w:r>
        <w:rPr>
          <w:rFonts w:ascii="Times New Roman" w:hAnsi="Times New Roman"/>
          <w:b/>
          <w:szCs w:val="21"/>
        </w:rPr>
        <w:t>=A</w:t>
      </w:r>
      <w:r>
        <w:rPr>
          <w:rFonts w:hint="eastAsia" w:ascii="Times New Roman" w:hAnsi="Times New Roman"/>
          <w:b/>
          <w:szCs w:val="21"/>
        </w:rPr>
        <w:t>份额前一自然日资产净值×0.30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3FD593A0">
      <w:pPr>
        <w:autoSpaceDE w:val="0"/>
        <w:autoSpaceDN w:val="0"/>
        <w:adjustRightInd w:val="0"/>
        <w:spacing w:line="276" w:lineRule="auto"/>
        <w:ind w:left="181" w:leftChars="86"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2</w:t>
      </w:r>
      <w:r>
        <w:rPr>
          <w:rFonts w:hint="eastAsia" w:ascii="Times New Roman" w:hAnsi="Times New Roman"/>
          <w:b/>
          <w:szCs w:val="21"/>
        </w:rPr>
        <w:t>）固定管理费：A份额为0.30%，B份额为0.30%，C份额为0.30%，D份额为0.30%，E份额为0.30%，F份额为0.30%，G份额为0.30%，H份额为0.30%，I份额为0.30%，各费用率均为年化数值。以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份额每日应计提的固定管理费</w:t>
      </w:r>
      <w:r>
        <w:rPr>
          <w:rFonts w:ascii="Times New Roman" w:hAnsi="Times New Roman"/>
          <w:b/>
          <w:szCs w:val="21"/>
        </w:rPr>
        <w:t>=A</w:t>
      </w:r>
      <w:r>
        <w:rPr>
          <w:rFonts w:hint="eastAsia" w:ascii="Times New Roman" w:hAnsi="Times New Roman"/>
          <w:b/>
          <w:szCs w:val="21"/>
        </w:rPr>
        <w:t>份额前一自然日资产净值×0.30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2BE90AA3">
      <w:pPr>
        <w:pStyle w:val="4"/>
        <w:ind w:firstLine="422" w:firstLineChars="200"/>
        <w:rPr>
          <w:rFonts w:ascii="Times New Roman" w:hAnsi="Times New Roman"/>
          <w:b/>
          <w:szCs w:val="21"/>
        </w:rPr>
      </w:pPr>
      <w:r>
        <w:rPr>
          <w:rFonts w:hint="eastAsia" w:ascii="Times New Roman" w:hAnsi="Times New Roman"/>
          <w:b/>
          <w:szCs w:val="21"/>
        </w:rPr>
        <w:t>（</w:t>
      </w:r>
      <w:r>
        <w:rPr>
          <w:rFonts w:ascii="Times New Roman" w:hAnsi="Times New Roman"/>
          <w:b/>
          <w:szCs w:val="21"/>
        </w:rPr>
        <w:t>3</w:t>
      </w:r>
      <w:r>
        <w:rPr>
          <w:rFonts w:hint="eastAsia" w:ascii="Times New Roman" w:hAnsi="Times New Roman"/>
          <w:b/>
          <w:szCs w:val="21"/>
        </w:rPr>
        <w:t>）托管费：0.007</w:t>
      </w:r>
      <w:r>
        <w:rPr>
          <w:rFonts w:ascii="Times New Roman" w:hAnsi="Times New Roman"/>
          <w:b/>
          <w:szCs w:val="21"/>
        </w:rPr>
        <w:t>%</w:t>
      </w:r>
      <w:r>
        <w:rPr>
          <w:rFonts w:hint="eastAsia" w:ascii="Times New Roman" w:hAnsi="Times New Roman"/>
          <w:b/>
          <w:szCs w:val="21"/>
        </w:rPr>
        <w:t>，该费用率为年化数值。每日应计提的托管费</w:t>
      </w:r>
      <w:r>
        <w:rPr>
          <w:rFonts w:ascii="Times New Roman" w:hAnsi="Times New Roman"/>
          <w:b/>
          <w:szCs w:val="21"/>
        </w:rPr>
        <w:t>=</w:t>
      </w:r>
      <w:r>
        <w:rPr>
          <w:rFonts w:hint="eastAsia" w:ascii="Times New Roman" w:hAnsi="Times New Roman"/>
          <w:b/>
          <w:szCs w:val="21"/>
        </w:rPr>
        <w:t>理财产品前一自然日资产净值×0.007</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bookmarkEnd w:id="23"/>
    </w:p>
    <w:p w14:paraId="7EAE6848">
      <w:pPr>
        <w:pStyle w:val="4"/>
        <w:ind w:firstLine="422" w:firstLineChars="200"/>
        <w:rPr>
          <w:b/>
        </w:rPr>
      </w:pPr>
      <w:r>
        <w:rPr>
          <w:rFonts w:ascii="Times New Roman" w:hAnsi="Times New Roman"/>
          <w:b/>
          <w:szCs w:val="21"/>
        </w:rPr>
        <w:t>2</w:t>
      </w:r>
      <w:r>
        <w:rPr>
          <w:rFonts w:hint="eastAsia" w:ascii="Times New Roman" w:hAnsi="Times New Roman"/>
          <w:b/>
          <w:szCs w:val="21"/>
        </w:rPr>
        <w:t>、其他费用，包括但不限于交易手续费、账户服务费、审计费、律师费、诉讼费、信息披露费、清算费、执行费用等应由产品承担的费用，</w:t>
      </w:r>
      <w:r>
        <w:rPr>
          <w:rFonts w:hint="eastAsia"/>
          <w:b/>
        </w:rPr>
        <w:t>具体按照实际发生列支。</w:t>
      </w:r>
    </w:p>
    <w:p w14:paraId="6E0A9F94">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产品管理人有权根据相关法律和国家政策规定，对理财产品费用的收费项目、收费条件、收费标准和收费方式等进行调整。产品管理人对费用的调整将依约定进行公告。若投资者不接受变更，可通过赎回退出本产品。投资者未在变更生效前提出赎回申请的，视为同意接受变更后条款，产品管理人有权按照变更后的约定内容进行操作。</w:t>
      </w:r>
    </w:p>
    <w:p w14:paraId="2BF3673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（三）投资者收益计算示例</w:t>
      </w:r>
    </w:p>
    <w:p w14:paraId="509772B8">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情景1：以某投资者投资10万元</w:t>
      </w:r>
      <w:r>
        <w:rPr>
          <w:rFonts w:hint="eastAsia" w:ascii="Times New Roman" w:hAnsi="Times New Roman" w:cs="仿宋_GB2312"/>
          <w:szCs w:val="21"/>
        </w:rPr>
        <w:t>A份额</w:t>
      </w:r>
      <w:r>
        <w:rPr>
          <w:rFonts w:hint="eastAsia" w:ascii="Times New Roman" w:hAnsi="Times New Roman"/>
          <w:bCs/>
          <w:szCs w:val="21"/>
        </w:rPr>
        <w:t>为例，购买时单位净值为1.0000，折算份额为100,000.00份。持有365天后赎回，开放日（T日）扣除销售服务费、固定管理费、托管费等相关税费后，单位净值为1.0410，投资者持有期内无分红，此时，投资者赎回金额为：100,000.00×1.0410=104,100.00元，投资者收益为：104,100.00-100,000.00=4,100.00元。</w:t>
      </w:r>
    </w:p>
    <w:p w14:paraId="3605E715">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情景2：以某投资者投资10万元</w:t>
      </w:r>
      <w:r>
        <w:rPr>
          <w:rFonts w:hint="eastAsia" w:ascii="Times New Roman" w:hAnsi="Times New Roman" w:cs="仿宋_GB2312"/>
          <w:szCs w:val="21"/>
        </w:rPr>
        <w:t>A份额</w:t>
      </w:r>
      <w:r>
        <w:rPr>
          <w:rFonts w:hint="eastAsia" w:ascii="Times New Roman" w:hAnsi="Times New Roman"/>
          <w:bCs/>
          <w:szCs w:val="21"/>
        </w:rPr>
        <w:t>为例，购买时单位净值为1.0000，折算份额为100,000.00份。持有365天赎回，开放日（T日）扣除销售服务费、固定管理费、托管费等相关税费后，单位净值为0.9950，投资者持有期内无分红，此时，投资者赎回金额为：100,000.00×0.9950=99,500.00元，投资者收益为：99,500.00-100,000.00=-500.00元。</w:t>
      </w:r>
    </w:p>
    <w:p w14:paraId="2BCA5FEE">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 xml:space="preserve">（上述示例采用假设数据计算，测算收益不等于实际收益，不代表以上的所有情形或某一情形一定会发生，投资者所能获得的收益以渝农商理财有限责任公司的实际支付为准。）  </w:t>
      </w:r>
    </w:p>
    <w:p w14:paraId="1ABC0478">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（四）产品到期日或提前终止日或申赎确认日至资金到账日期间投资者资金不计息。</w:t>
      </w:r>
    </w:p>
    <w:p w14:paraId="14A730B1">
      <w:pPr>
        <w:spacing w:line="276" w:lineRule="auto"/>
        <w:ind w:firstLine="422" w:firstLineChars="200"/>
        <w:outlineLvl w:val="0"/>
        <w:rPr>
          <w:rFonts w:ascii="Times New Roman" w:hAnsi="Times New Roman" w:cs="宋体"/>
          <w:b/>
          <w:szCs w:val="21"/>
        </w:rPr>
      </w:pPr>
      <w:r>
        <w:rPr>
          <w:rFonts w:hint="eastAsia" w:ascii="Times New Roman" w:hAnsi="Times New Roman" w:cs="宋体"/>
          <w:b/>
          <w:szCs w:val="21"/>
        </w:rPr>
        <w:t>六</w:t>
      </w:r>
      <w:r>
        <w:rPr>
          <w:rFonts w:ascii="Times New Roman" w:hAnsi="Times New Roman" w:cs="宋体"/>
          <w:b/>
          <w:szCs w:val="21"/>
        </w:rPr>
        <w:t>、</w:t>
      </w:r>
      <w:r>
        <w:rPr>
          <w:rFonts w:hint="eastAsia" w:ascii="Times New Roman" w:hAnsi="Times New Roman" w:cs="宋体"/>
          <w:b/>
          <w:szCs w:val="21"/>
        </w:rPr>
        <w:t>理财产品</w:t>
      </w:r>
      <w:r>
        <w:rPr>
          <w:rFonts w:ascii="Times New Roman" w:hAnsi="Times New Roman" w:cs="宋体"/>
          <w:b/>
          <w:szCs w:val="21"/>
        </w:rPr>
        <w:t>估值</w:t>
      </w:r>
    </w:p>
    <w:p w14:paraId="3DC90E1E">
      <w:pPr>
        <w:autoSpaceDE w:val="0"/>
        <w:autoSpaceDN w:val="0"/>
        <w:adjustRightInd w:val="0"/>
        <w:spacing w:line="276" w:lineRule="auto"/>
        <w:ind w:firstLine="420" w:firstLineChars="200"/>
        <w:jc w:val="left"/>
        <w:outlineLvl w:val="0"/>
        <w:rPr>
          <w:rFonts w:ascii="Times New Roman" w:hAnsi="Times New Roman"/>
          <w:bCs/>
          <w:szCs w:val="21"/>
        </w:rPr>
      </w:pPr>
      <w:bookmarkStart w:id="24" w:name="_Hlk38476814"/>
      <w:r>
        <w:rPr>
          <w:rFonts w:hint="eastAsia" w:ascii="Times New Roman" w:hAnsi="Times New Roman"/>
          <w:bCs/>
          <w:szCs w:val="21"/>
        </w:rPr>
        <w:t>（一）估值原则</w:t>
      </w:r>
    </w:p>
    <w:p w14:paraId="5F7A0CD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本产品估值的目的是公允、合理地反映理财产品的价值，估值中坚持公允价值计量原则。</w:t>
      </w:r>
    </w:p>
    <w:p w14:paraId="3D1855E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（二）估值日</w:t>
      </w:r>
    </w:p>
    <w:p w14:paraId="3CE288B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估值日为自产品成立日起每个开放日及理财产品终止日（包含提前终止日）。</w:t>
      </w:r>
    </w:p>
    <w:p w14:paraId="3A8291E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（三）估值对象</w:t>
      </w:r>
    </w:p>
    <w:p w14:paraId="7A03F67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理财产品所持有的各类有价证券、银行存款、应收款项、其它投资等资产及负债。</w:t>
      </w:r>
    </w:p>
    <w:p w14:paraId="708569C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（四）估值方法</w:t>
      </w:r>
    </w:p>
    <w:p w14:paraId="08A1EA1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1、债券类资产</w:t>
      </w:r>
    </w:p>
    <w:p w14:paraId="2818CA3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原则上按照公允价值计量进行估值。其中，符合会计准则和相关监管政策规定的债券类资产可以使用摊余成本进行计量。</w:t>
      </w:r>
    </w:p>
    <w:p w14:paraId="61B1A45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公允价值的处理方法如下：</w:t>
      </w:r>
    </w:p>
    <w:p w14:paraId="52900801">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（1）对在交易所市场实行净价交易的债券，采用第三方估值机构（中证指数有限公司）提供的估值价格。</w:t>
      </w:r>
    </w:p>
    <w:p w14:paraId="4AF6212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65041E11">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（3）对银行间市场交易的债券，选取第三方估值机构（中央国债登记结算有限责任公司）提供的相应品种当日的估值净价估值。</w:t>
      </w:r>
    </w:p>
    <w:p w14:paraId="13BFD60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2、银行存款（含证券交易保证金）及回购（包含正、逆回购）以买入成本列示，按商定利率在实际持有期间内逐日计提利息。</w:t>
      </w:r>
    </w:p>
    <w:p w14:paraId="053BDC4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3、股票类资产</w:t>
      </w:r>
    </w:p>
    <w:p w14:paraId="7EFEA3C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4ED1F6A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4、投资于信托计划、资产管理计划等的资产</w:t>
      </w:r>
    </w:p>
    <w:p w14:paraId="7B3C384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按合同约定的估值方案，以信托计划的受托人、资产管理计划的管理人等和资产托管人共同确认的净值或投资收益情况进行估值。</w:t>
      </w:r>
    </w:p>
    <w:p w14:paraId="09D83B7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5、证券投资基金</w:t>
      </w:r>
    </w:p>
    <w:p w14:paraId="0BDD228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（1）非上市基金估值</w:t>
      </w:r>
    </w:p>
    <w:p w14:paraId="2FDF18F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理财产品投资的境内非货币市场基金，按所投资基金估值日的份额净值估值；理财产品投资的境内货币市场基金，按所投资基金前一估值日后至估值日期间（含节假日）的万份收益计提估值日基金收益。</w:t>
      </w:r>
    </w:p>
    <w:p w14:paraId="794FCCF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（2）上市基金估值</w:t>
      </w:r>
    </w:p>
    <w:p w14:paraId="498A353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25F248DC">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（3）特殊情况处理</w:t>
      </w:r>
    </w:p>
    <w:p w14:paraId="1E36D19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如遇所投资基金不公布基金份额净值、进行折算或拆分、估值日无交易等特殊情况，理财产品管理人根据以下原则进行估值：</w:t>
      </w:r>
    </w:p>
    <w:p w14:paraId="5875167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（a）以所投资基金的基金份额净值估值的，若所投资基金与理财产品估值频率一致但未公布估值日基金份额净值，按其最近公布的基金份额净值为基础估值。</w:t>
      </w:r>
    </w:p>
    <w:p w14:paraId="24776EC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73BC36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（c）如果所投资基金前一估值日至估值日期间发生分红除权、折算或拆分，理财产品管理人应根据基金份额净值或收盘价、单位基金份额分红金额、折算拆分比例、持仓份额等因素合理确定公允价值。</w:t>
      </w:r>
    </w:p>
    <w:p w14:paraId="054D9C3C">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（d）当理财产品管理人认为所投资基金按上述（a）（b）（c）进行估值存在不公允时，在法律法规允许的范围内，应与托管人协商一致采用合理的估值技术或估值标准确定其公允价值。</w:t>
      </w:r>
    </w:p>
    <w:p w14:paraId="69BBFA6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6、若理财产品存续期间持有其他投资品种，以理财产品管理人和理财产品托管人共同认可的方法计算其价值。</w:t>
      </w:r>
    </w:p>
    <w:p w14:paraId="0F1E6B2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7、国家有最新规定的，按其规定进行估值。</w:t>
      </w:r>
    </w:p>
    <w:p w14:paraId="7233C34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1C49CE9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（五）估值错误的处理</w:t>
      </w:r>
    </w:p>
    <w:p w14:paraId="4F221EA5">
      <w:pPr>
        <w:pStyle w:val="11"/>
        <w:spacing w:before="0" w:beforeAutospacing="0" w:after="0" w:afterAutospacing="0" w:line="276" w:lineRule="auto"/>
        <w:ind w:firstLine="420" w:firstLineChars="200"/>
        <w:rPr>
          <w:rFonts w:ascii="Times New Roman" w:hAnsi="Times New Roman" w:cs="Times New Roman"/>
          <w:bCs/>
          <w:kern w:val="2"/>
          <w:sz w:val="21"/>
          <w:szCs w:val="21"/>
        </w:rPr>
      </w:pPr>
      <w:r>
        <w:rPr>
          <w:rFonts w:hint="eastAsia" w:ascii="Times New Roman" w:hAnsi="Times New Roman" w:cs="Times New Roman"/>
          <w:bCs/>
          <w:kern w:val="2"/>
          <w:sz w:val="21"/>
          <w:szCs w:val="21"/>
        </w:rPr>
        <w:t>理财产品管理人和理财产品托管人将采取必要、适当、合理的措施确保理财产品估值的准确性、及时性。当理财产品单位净值小数点后4位以内（含第4位）发生估值错误时，视为理财产品单位净值错误。</w:t>
      </w:r>
    </w:p>
    <w:p w14:paraId="4C0DAB41">
      <w:pPr>
        <w:pStyle w:val="11"/>
        <w:spacing w:before="0" w:beforeAutospacing="0" w:after="0" w:afterAutospacing="0" w:line="276" w:lineRule="auto"/>
        <w:ind w:firstLine="420"/>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、估值错误处理原则</w:t>
      </w:r>
    </w:p>
    <w:p w14:paraId="0D4ABCC5">
      <w:pPr>
        <w:pStyle w:val="11"/>
        <w:spacing w:before="0" w:beforeAutospacing="0" w:after="0" w:afterAutospacing="0" w:line="276" w:lineRule="auto"/>
        <w:ind w:firstLine="424"/>
        <w:rPr>
          <w:rFonts w:ascii="Times New Roman" w:hAnsi="Times New Roman" w:cs="Times New Roman"/>
          <w:bCs/>
          <w:kern w:val="2"/>
          <w:sz w:val="21"/>
          <w:szCs w:val="21"/>
        </w:rPr>
      </w:pPr>
      <w:r>
        <w:rPr>
          <w:rFonts w:ascii="Times New Roman" w:hAnsi="Times New Roman" w:cs="Times New Roman"/>
          <w:bCs/>
          <w:kern w:val="2"/>
          <w:sz w:val="21"/>
          <w:szCs w:val="21"/>
        </w:rPr>
        <w:t>（1）由于理财</w:t>
      </w:r>
      <w:r>
        <w:rPr>
          <w:rFonts w:hint="eastAsia" w:ascii="Times New Roman" w:hAnsi="Times New Roman" w:cs="Times New Roman"/>
          <w:bCs/>
          <w:kern w:val="2"/>
          <w:sz w:val="21"/>
          <w:szCs w:val="21"/>
        </w:rPr>
        <w:t>产品</w:t>
      </w:r>
      <w:r>
        <w:rPr>
          <w:rFonts w:ascii="Times New Roman" w:hAnsi="Times New Roman" w:cs="Times New Roman"/>
          <w:bCs/>
          <w:kern w:val="2"/>
          <w:sz w:val="21"/>
          <w:szCs w:val="21"/>
        </w:rPr>
        <w:t>管理人或理财</w:t>
      </w:r>
      <w:r>
        <w:rPr>
          <w:rFonts w:hint="eastAsia" w:ascii="Times New Roman" w:hAnsi="Times New Roman" w:cs="Times New Roman"/>
          <w:bCs/>
          <w:kern w:val="2"/>
          <w:sz w:val="21"/>
          <w:szCs w:val="21"/>
        </w:rPr>
        <w:t>产品</w:t>
      </w:r>
      <w:r>
        <w:rPr>
          <w:rFonts w:ascii="Times New Roman" w:hAnsi="Times New Roman" w:cs="Times New Roman"/>
          <w:bCs/>
          <w:kern w:val="2"/>
          <w:sz w:val="21"/>
          <w:szCs w:val="21"/>
        </w:rPr>
        <w:t>托管人自身的过错造成估值错误，导致投资者遭受损失的，由估值错误责任方按照各自过错程度对该估值错误导致投资者遭受的直接损失给予赔偿，承担赔偿责任。</w:t>
      </w:r>
    </w:p>
    <w:p w14:paraId="0996030F">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（2）对于因技术原因引起的差错，若系同行业现有技术水平无法预见、无法避免、无法抗拒，属不可抗力。</w:t>
      </w:r>
      <w:r>
        <w:rPr>
          <w:rFonts w:hint="eastAsia" w:ascii="Times New Roman" w:hAnsi="Times New Roman" w:cs="Times New Roman"/>
          <w:b/>
          <w:kern w:val="2"/>
          <w:sz w:val="21"/>
          <w:szCs w:val="21"/>
        </w:rPr>
        <w:t>因不可抗力原因出现差错的当事人不对投资者承担赔偿责任，但因该差错取得不当得利的投资者仍应负有返还不当得利的义务。</w:t>
      </w:r>
    </w:p>
    <w:p w14:paraId="7DA343A8">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31E2CA30">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（4）当估值出现错误时，因估值错误而获得不当得利的投资者负有及时返还不当得利的义务。</w:t>
      </w:r>
    </w:p>
    <w:p w14:paraId="09C09685">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（5）按法律法规规定的其他原则处理估值错误。</w:t>
      </w:r>
    </w:p>
    <w:p w14:paraId="77E98D9D">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 xml:space="preserve"> </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、估值错误处理程序</w:t>
      </w:r>
    </w:p>
    <w:p w14:paraId="29901ACB">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估值错误被发现后，理财产品管理人和理财产品托管人应当及时进行处理，处理的程序如下：</w:t>
      </w:r>
    </w:p>
    <w:p w14:paraId="1D0D84F3">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（1）查明估值错误发生的原因，列明所有的管理人和托管人并根据估值错误发生的原因确定估值错误的责任方；</w:t>
      </w:r>
    </w:p>
    <w:p w14:paraId="7D03C136">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（2）根据估值错误处理原则对因估值错误造成的损失进行评估；</w:t>
      </w:r>
    </w:p>
    <w:p w14:paraId="0E5CBB01">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（3）根据理财产品管理人和理财产品托管人协商的方法，由理财产品管理人和理财产品托管人共同进行更正，由估值错误的责任方进行赔偿损失。</w:t>
      </w:r>
    </w:p>
    <w:p w14:paraId="228552B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（六）暂停估值</w:t>
      </w:r>
    </w:p>
    <w:p w14:paraId="6A541D4C">
      <w:pPr>
        <w:pStyle w:val="11"/>
        <w:spacing w:before="0" w:beforeAutospacing="0" w:after="0" w:afterAutospacing="0" w:line="276" w:lineRule="auto"/>
        <w:ind w:firstLine="404"/>
        <w:rPr>
          <w:rFonts w:ascii="Times New Roman" w:hAnsi="Times New Roman" w:cs="Times New Roman"/>
          <w:b/>
          <w:kern w:val="2"/>
          <w:sz w:val="21"/>
          <w:szCs w:val="21"/>
        </w:rPr>
      </w:pPr>
      <w:r>
        <w:rPr>
          <w:rFonts w:ascii="Times New Roman" w:hAnsi="Times New Roman" w:cs="Times New Roman"/>
          <w:b/>
          <w:kern w:val="2"/>
          <w:sz w:val="21"/>
          <w:szCs w:val="21"/>
        </w:rPr>
        <w:t>1</w:t>
      </w:r>
      <w:r>
        <w:rPr>
          <w:rFonts w:hint="eastAsia" w:ascii="Times New Roman" w:hAnsi="Times New Roman" w:cs="Times New Roman"/>
          <w:b/>
          <w:kern w:val="2"/>
          <w:sz w:val="21"/>
          <w:szCs w:val="21"/>
        </w:rPr>
        <w:t>、当产品资产的估值因不可抗力或其它情形致使产品管理人、托管人无法准确评估产品资产价值时或监管机构认定的其它情形，产品管理人可暂停产品的估值直至另行通知；</w:t>
      </w:r>
    </w:p>
    <w:p w14:paraId="33ED5F6C">
      <w:pPr>
        <w:pStyle w:val="11"/>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2、当前一估值日产品资产净值50%以上的资产不具备活跃交易市场或者在活跃市场中无报价，且不能采用估值技术可靠计量公允价值时，产品管理人将暂停该产品的估值，并按照监管规定采取相应措施。</w:t>
      </w:r>
    </w:p>
    <w:bookmarkEnd w:id="24"/>
    <w:p w14:paraId="18524C41">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七、信息披露</w:t>
      </w:r>
    </w:p>
    <w:p w14:paraId="21617E88">
      <w:pPr>
        <w:spacing w:line="276" w:lineRule="auto"/>
        <w:ind w:firstLine="420" w:firstLineChars="200"/>
        <w:jc w:val="left"/>
        <w:rPr>
          <w:rFonts w:ascii="Times New Roman" w:hAnsi="Times New Roman"/>
          <w:bCs/>
          <w:szCs w:val="21"/>
        </w:rPr>
      </w:pPr>
      <w:r>
        <w:rPr>
          <w:rFonts w:hint="eastAsia" w:ascii="Times New Roman" w:hAnsi="Times New Roman"/>
          <w:bCs/>
          <w:szCs w:val="21"/>
        </w:rPr>
        <w:t>（一）信息披露渠道</w:t>
      </w:r>
    </w:p>
    <w:p w14:paraId="075386F7">
      <w:pPr>
        <w:spacing w:line="276" w:lineRule="auto"/>
        <w:ind w:firstLine="316" w:firstLineChars="150"/>
        <w:jc w:val="left"/>
        <w:rPr>
          <w:rFonts w:ascii="Times New Roman" w:hAnsi="Times New Roman"/>
          <w:b/>
          <w:bCs/>
          <w:szCs w:val="21"/>
        </w:rPr>
      </w:pPr>
      <w:r>
        <w:rPr>
          <w:rFonts w:hint="eastAsia" w:ascii="Times New Roman" w:hAnsi="Times New Roman"/>
          <w:b/>
          <w:bCs/>
          <w:szCs w:val="21"/>
        </w:rPr>
        <w:t>本理财产品的公开信息披露将通过渝农商理财有限责任公司网站（</w:t>
      </w:r>
      <w:r>
        <w:rPr>
          <w:rFonts w:ascii="Times New Roman" w:hAnsi="Times New Roman"/>
          <w:b/>
          <w:bCs/>
          <w:szCs w:val="21"/>
        </w:rPr>
        <w:t>wm.cqrcb.com</w:t>
      </w:r>
      <w:r>
        <w:rPr>
          <w:rFonts w:hint="eastAsia" w:ascii="Times New Roman" w:hAnsi="Times New Roman"/>
          <w:b/>
          <w:bCs/>
          <w:szCs w:val="21"/>
        </w:rPr>
        <w:t>）、渝农商理财电子直销平台、代理销售机构相关渠道（包括但不限于代理销售机构的网站等）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rPr>
        <w:t>或由于不可抗力、意外事件等因素的影响使得投资者无法及时了解产品信息，可能会影响投资者的投资决策，因此而产生的全部责任和风险由投资者自行承担。</w:t>
      </w:r>
    </w:p>
    <w:p w14:paraId="11106F77">
      <w:pPr>
        <w:spacing w:line="276" w:lineRule="auto"/>
        <w:ind w:firstLine="420" w:firstLineChars="200"/>
        <w:jc w:val="left"/>
        <w:rPr>
          <w:rFonts w:ascii="Times New Roman" w:hAnsi="Times New Roman"/>
          <w:szCs w:val="21"/>
        </w:rPr>
      </w:pPr>
      <w:r>
        <w:rPr>
          <w:rFonts w:hint="eastAsia" w:ascii="Times New Roman" w:hAnsi="Times New Roman"/>
          <w:szCs w:val="21"/>
        </w:rPr>
        <w:t>（二）理财产品信息披露内容和时间</w:t>
      </w:r>
    </w:p>
    <w:p w14:paraId="5241B4DC">
      <w:pPr>
        <w:spacing w:line="276"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、发行公告：渝农商理财有限责任公司在本产品成立后5个工作日内公布本产品发行公告。</w:t>
      </w:r>
    </w:p>
    <w:p w14:paraId="34C64D20">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、到期公告：</w:t>
      </w:r>
      <w:r>
        <w:rPr>
          <w:rFonts w:hint="eastAsia" w:ascii="Times New Roman" w:hAnsi="Times New Roman"/>
          <w:szCs w:val="21"/>
        </w:rPr>
        <w:t>渝农商理财有限责任公司在</w:t>
      </w:r>
      <w:r>
        <w:rPr>
          <w:rFonts w:hint="eastAsia" w:ascii="Times New Roman" w:hAnsi="Times New Roman"/>
          <w:bCs/>
          <w:szCs w:val="21"/>
        </w:rPr>
        <w:t>本产品到期后5个工作日内公布本产品到期公告。</w:t>
      </w:r>
    </w:p>
    <w:p w14:paraId="25246F76">
      <w:pPr>
        <w:autoSpaceDE w:val="0"/>
        <w:autoSpaceDN w:val="0"/>
        <w:adjustRightInd w:val="0"/>
        <w:spacing w:line="276"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 xml:space="preserve">、净值公告：渝农商理财有限责任公司将在每个开放日后的2个工作日内披露本理财产品在开放日的份额净值、份额累计净值、申购价格和赎回价格等。      </w:t>
      </w:r>
    </w:p>
    <w:p w14:paraId="4CC8DA49">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、定期报告：</w:t>
      </w:r>
      <w:r>
        <w:rPr>
          <w:rFonts w:hint="eastAsia" w:ascii="Times New Roman" w:hAnsi="Times New Roman"/>
          <w:szCs w:val="21"/>
        </w:rPr>
        <w:t>渝农商理财有限责任公司</w:t>
      </w:r>
      <w:r>
        <w:rPr>
          <w:rFonts w:hint="eastAsia" w:ascii="Times New Roman" w:hAnsi="Times New Roman"/>
          <w:bCs/>
          <w:szCs w:val="21"/>
        </w:rPr>
        <w:t>在每季度结束之日起15个工作日内公布上季度末产品的季度报告，在</w:t>
      </w:r>
      <w:r>
        <w:rPr>
          <w:rFonts w:ascii="Times New Roman" w:hAnsi="Times New Roman"/>
          <w:bCs/>
          <w:szCs w:val="21"/>
        </w:rPr>
        <w:t>上半年结束之日起60个</w:t>
      </w:r>
      <w:r>
        <w:rPr>
          <w:rFonts w:hint="eastAsia" w:ascii="Times New Roman" w:hAnsi="Times New Roman"/>
          <w:bCs/>
          <w:szCs w:val="21"/>
        </w:rPr>
        <w:t>工作日</w:t>
      </w:r>
      <w:r>
        <w:rPr>
          <w:rFonts w:ascii="Times New Roman" w:hAnsi="Times New Roman"/>
          <w:bCs/>
          <w:szCs w:val="21"/>
        </w:rPr>
        <w:t>内</w:t>
      </w:r>
      <w:r>
        <w:rPr>
          <w:rFonts w:hint="eastAsia" w:ascii="Times New Roman" w:hAnsi="Times New Roman"/>
          <w:bCs/>
          <w:szCs w:val="21"/>
        </w:rPr>
        <w:t>公布产品半年度报告，在每年</w:t>
      </w:r>
      <w:r>
        <w:rPr>
          <w:rFonts w:ascii="Times New Roman" w:hAnsi="Times New Roman"/>
          <w:bCs/>
          <w:szCs w:val="21"/>
        </w:rPr>
        <w:t>结束之日起90个</w:t>
      </w:r>
      <w:r>
        <w:rPr>
          <w:rFonts w:hint="eastAsia" w:ascii="Times New Roman" w:hAnsi="Times New Roman"/>
          <w:bCs/>
          <w:szCs w:val="21"/>
        </w:rPr>
        <w:t>工作日</w:t>
      </w:r>
      <w:r>
        <w:rPr>
          <w:rFonts w:ascii="Times New Roman" w:hAnsi="Times New Roman"/>
          <w:bCs/>
          <w:szCs w:val="21"/>
        </w:rPr>
        <w:t>内</w:t>
      </w:r>
      <w:r>
        <w:rPr>
          <w:rFonts w:hint="eastAsia" w:ascii="Times New Roman" w:hAnsi="Times New Roman"/>
          <w:bCs/>
          <w:szCs w:val="21"/>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rPr>
        <w:t>渝农商理财有限责任公司</w:t>
      </w:r>
      <w:r>
        <w:rPr>
          <w:rFonts w:hint="eastAsia" w:ascii="Times New Roman" w:hAnsi="Times New Roman"/>
          <w:bCs/>
          <w:szCs w:val="21"/>
        </w:rPr>
        <w:t>可以不编制理财产品当期的季度、半年和年度报告。</w:t>
      </w:r>
    </w:p>
    <w:p w14:paraId="50B2B49D">
      <w:pPr>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、重大事项公告：在发生可能对本理财产品投资者或者理财产品收益产生重大影响的事件后2个工作日内发布重大事项公告。</w:t>
      </w:r>
    </w:p>
    <w:p w14:paraId="7D072B84">
      <w:pPr>
        <w:spacing w:line="276" w:lineRule="auto"/>
        <w:ind w:firstLine="420" w:firstLineChars="200"/>
        <w:rPr>
          <w:rFonts w:ascii="Times New Roman" w:hAnsi="Times New Roman"/>
          <w:szCs w:val="21"/>
        </w:rPr>
      </w:pPr>
      <w:r>
        <w:rPr>
          <w:rFonts w:ascii="Times New Roman" w:hAnsi="Times New Roman"/>
          <w:bCs/>
          <w:szCs w:val="21"/>
        </w:rPr>
        <w:t>6</w:t>
      </w:r>
      <w:r>
        <w:rPr>
          <w:rFonts w:hint="eastAsia" w:ascii="Times New Roman" w:hAnsi="Times New Roman"/>
          <w:bCs/>
          <w:szCs w:val="21"/>
        </w:rPr>
        <w:t>、临时性信息披露：若发生理财产品不成立、变更募集期、提前终止、规模调整、认购、申购、赎回事项调整或潜在影响投资者赎回</w:t>
      </w:r>
      <w:r>
        <w:rPr>
          <w:rFonts w:ascii="Times New Roman" w:hAnsi="Times New Roman"/>
          <w:bCs/>
          <w:szCs w:val="21"/>
        </w:rPr>
        <w:t>等经</w:t>
      </w:r>
      <w:r>
        <w:rPr>
          <w:rFonts w:hint="eastAsia" w:ascii="Times New Roman" w:hAnsi="Times New Roman"/>
          <w:szCs w:val="21"/>
        </w:rPr>
        <w:t>渝农商理财有限责任公司</w:t>
      </w:r>
      <w:r>
        <w:rPr>
          <w:rFonts w:ascii="Times New Roman" w:hAnsi="Times New Roman"/>
          <w:bCs/>
          <w:szCs w:val="21"/>
        </w:rPr>
        <w:t>判断可能对</w:t>
      </w:r>
      <w:r>
        <w:rPr>
          <w:rFonts w:hint="eastAsia" w:ascii="Times New Roman" w:hAnsi="Times New Roman"/>
          <w:bCs/>
          <w:szCs w:val="21"/>
        </w:rPr>
        <w:t>投资者</w:t>
      </w:r>
      <w:r>
        <w:rPr>
          <w:rFonts w:ascii="Times New Roman" w:hAnsi="Times New Roman"/>
          <w:bCs/>
          <w:szCs w:val="21"/>
        </w:rPr>
        <w:t>产生影响的事项时，</w:t>
      </w:r>
      <w:r>
        <w:rPr>
          <w:rFonts w:hint="eastAsia" w:ascii="Times New Roman" w:hAnsi="Times New Roman"/>
          <w:bCs/>
          <w:szCs w:val="21"/>
        </w:rPr>
        <w:t>或按法律法规、监管政策规定必须披露的，</w:t>
      </w:r>
      <w:r>
        <w:rPr>
          <w:rFonts w:hint="eastAsia" w:ascii="Times New Roman" w:hAnsi="Times New Roman"/>
          <w:szCs w:val="21"/>
        </w:rPr>
        <w:t>渝农商理财有限责任公司</w:t>
      </w:r>
      <w:r>
        <w:rPr>
          <w:rFonts w:ascii="Times New Roman" w:hAnsi="Times New Roman"/>
          <w:bCs/>
          <w:szCs w:val="21"/>
        </w:rPr>
        <w:t>将及时进行临时信息披露。</w:t>
      </w:r>
    </w:p>
    <w:p w14:paraId="54E617A3">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八、其他事项</w:t>
      </w:r>
    </w:p>
    <w:p w14:paraId="61A5D683">
      <w:pPr>
        <w:spacing w:line="276" w:lineRule="auto"/>
        <w:ind w:firstLine="420"/>
        <w:rPr>
          <w:rFonts w:ascii="Times New Roman" w:hAnsi="Times New Roman"/>
          <w:bCs/>
          <w:szCs w:val="21"/>
        </w:rPr>
      </w:pPr>
      <w:bookmarkStart w:id="25" w:name="_Hlk38477057"/>
      <w:r>
        <w:rPr>
          <w:rFonts w:hint="eastAsia" w:ascii="Times New Roman" w:hAnsi="Times New Roman"/>
          <w:bCs/>
          <w:szCs w:val="21"/>
        </w:rPr>
        <w:t>（一）</w:t>
      </w:r>
      <w:r>
        <w:rPr>
          <w:rFonts w:hint="eastAsia" w:ascii="Times New Roman" w:hAnsi="Times New Roman"/>
          <w:szCs w:val="21"/>
        </w:rPr>
        <w:t>投资者可通过销售（代理销售）机构在产品存续期内查询所持有的理财产品账单等相关信息。</w:t>
      </w:r>
    </w:p>
    <w:p w14:paraId="0B65F888">
      <w:pPr>
        <w:spacing w:line="276" w:lineRule="auto"/>
        <w:ind w:firstLine="420" w:firstLineChars="200"/>
        <w:rPr>
          <w:rFonts w:ascii="Times New Roman" w:hAnsi="Times New Roman"/>
          <w:bCs/>
          <w:szCs w:val="21"/>
        </w:rPr>
      </w:pPr>
      <w:r>
        <w:rPr>
          <w:rFonts w:hint="eastAsia" w:ascii="Times New Roman" w:hAnsi="Times New Roman"/>
          <w:bCs/>
          <w:szCs w:val="21"/>
        </w:rPr>
        <w:t>（二）投资者有义务及时核对所收到的任何款项，以及</w:t>
      </w:r>
      <w:r>
        <w:rPr>
          <w:rFonts w:hint="eastAsia" w:ascii="Times New Roman" w:hAnsi="Times New Roman"/>
          <w:szCs w:val="21"/>
        </w:rPr>
        <w:t>渝农商理财有限责任公司</w:t>
      </w:r>
      <w:r>
        <w:rPr>
          <w:rFonts w:hint="eastAsia" w:ascii="Times New Roman" w:hAnsi="Times New Roman"/>
          <w:bCs/>
          <w:szCs w:val="21"/>
        </w:rPr>
        <w:t>向投资者提供的相关信息资料是否准确。如投资者有疑义，应在</w:t>
      </w:r>
      <w:r>
        <w:rPr>
          <w:rFonts w:hint="eastAsia" w:ascii="Times New Roman" w:hAnsi="Times New Roman"/>
          <w:szCs w:val="21"/>
        </w:rPr>
        <w:t>渝农商理财有限责任公司</w:t>
      </w:r>
      <w:r>
        <w:rPr>
          <w:rFonts w:hint="eastAsia" w:ascii="Times New Roman" w:hAnsi="Times New Roman"/>
          <w:bCs/>
          <w:szCs w:val="21"/>
        </w:rPr>
        <w:t>发出相关信息资料后的30日内提出；如投资者在前述期限内未提出的，视为投资者无疑义。但除非存在明显的计算错误，本产品的款项以</w:t>
      </w:r>
      <w:r>
        <w:rPr>
          <w:rFonts w:hint="eastAsia" w:ascii="Times New Roman" w:hAnsi="Times New Roman"/>
          <w:szCs w:val="21"/>
        </w:rPr>
        <w:t>渝农商理财有限责任公司</w:t>
      </w:r>
      <w:r>
        <w:rPr>
          <w:rFonts w:hint="eastAsia" w:ascii="Times New Roman" w:hAnsi="Times New Roman"/>
          <w:bCs/>
          <w:szCs w:val="21"/>
        </w:rPr>
        <w:t>记载为准。</w:t>
      </w:r>
    </w:p>
    <w:p w14:paraId="5C0447C3">
      <w:pPr>
        <w:spacing w:line="276" w:lineRule="auto"/>
        <w:ind w:firstLine="420"/>
        <w:rPr>
          <w:rFonts w:ascii="Times New Roman" w:hAnsi="Times New Roman" w:cs="宋体"/>
          <w:szCs w:val="21"/>
        </w:rPr>
      </w:pPr>
      <w:r>
        <w:rPr>
          <w:rFonts w:hint="eastAsia" w:ascii="Times New Roman" w:hAnsi="Times New Roman" w:cs="宋体"/>
          <w:szCs w:val="21"/>
        </w:rPr>
        <w:t>（三）</w:t>
      </w:r>
      <w:r>
        <w:rPr>
          <w:rFonts w:hint="eastAsia" w:ascii="Times New Roman" w:hAnsi="Times New Roman"/>
          <w:szCs w:val="21"/>
        </w:rPr>
        <w:t>渝农商理财有限责任公司</w:t>
      </w:r>
      <w:r>
        <w:rPr>
          <w:rFonts w:ascii="Times New Roman" w:hAnsi="Times New Roman" w:cs="宋体"/>
          <w:szCs w:val="21"/>
        </w:rPr>
        <w:t>应当依法履行投资者信息保密义务</w:t>
      </w:r>
      <w:r>
        <w:rPr>
          <w:rFonts w:hint="eastAsia" w:ascii="Times New Roman" w:hAnsi="Times New Roman" w:cs="宋体"/>
          <w:szCs w:val="21"/>
        </w:rPr>
        <w:t>。非经投资者事先许可，不得向第三方披露，</w:t>
      </w:r>
      <w:r>
        <w:rPr>
          <w:rFonts w:ascii="Times New Roman" w:hAnsi="Times New Roman" w:cs="宋体"/>
          <w:szCs w:val="21"/>
        </w:rPr>
        <w:t>除法律法规另有规定或有权机关另有要求外</w:t>
      </w:r>
      <w:r>
        <w:rPr>
          <w:rFonts w:hint="eastAsia" w:ascii="Times New Roman" w:hAnsi="Times New Roman" w:cs="宋体"/>
          <w:szCs w:val="21"/>
        </w:rPr>
        <w:t>。投资者在此同意并授权，渝农商理财有限责任公司可根据监管要求，为理财产品登记需要，向登记部门或监管机构提供投资者相关信息。</w:t>
      </w:r>
    </w:p>
    <w:p w14:paraId="6ACD93A1">
      <w:pPr>
        <w:spacing w:line="276" w:lineRule="auto"/>
        <w:ind w:firstLine="420"/>
        <w:rPr>
          <w:rFonts w:ascii="Times New Roman" w:hAnsi="Times New Roman" w:cs="宋体"/>
          <w:szCs w:val="21"/>
        </w:rPr>
      </w:pPr>
      <w:r>
        <w:rPr>
          <w:rFonts w:hint="eastAsia" w:ascii="Times New Roman" w:hAnsi="Times New Roman" w:cs="宋体"/>
          <w:szCs w:val="21"/>
        </w:rPr>
        <w:t>（四）</w:t>
      </w:r>
      <w:r>
        <w:rPr>
          <w:rFonts w:hint="eastAsia" w:ascii="Times New Roman" w:hAnsi="Times New Roman"/>
          <w:szCs w:val="21"/>
        </w:rPr>
        <w:t>渝农商理财有限责任公司</w:t>
      </w:r>
      <w:r>
        <w:rPr>
          <w:rFonts w:hint="eastAsia" w:ascii="Times New Roman" w:hAnsi="Times New Roman" w:cs="宋体"/>
          <w:szCs w:val="21"/>
        </w:rPr>
        <w:t>统一社会信用代码</w:t>
      </w:r>
      <w:bookmarkStart w:id="26" w:name="_Hlk43732020"/>
      <w:r>
        <w:rPr>
          <w:rFonts w:hint="eastAsia" w:ascii="Times New Roman" w:hAnsi="Times New Roman" w:cs="宋体"/>
          <w:szCs w:val="21"/>
        </w:rPr>
        <w:t>【91500105MA610TKW7P</w:t>
      </w:r>
      <w:bookmarkEnd w:id="26"/>
      <w:r>
        <w:rPr>
          <w:rFonts w:hint="eastAsia" w:ascii="Times New Roman" w:hAnsi="Times New Roman" w:cs="宋体"/>
          <w:szCs w:val="21"/>
        </w:rPr>
        <w:t>】</w:t>
      </w:r>
      <w:r>
        <w:rPr>
          <w:rFonts w:hint="eastAsia" w:ascii="Times New Roman" w:hAnsi="Times New Roman" w:cs="仿宋_GB2312"/>
          <w:color w:val="000000"/>
          <w:kern w:val="0"/>
          <w:szCs w:val="21"/>
        </w:rPr>
        <w:t>；</w:t>
      </w:r>
      <w:r>
        <w:rPr>
          <w:rFonts w:hint="eastAsia" w:ascii="Times New Roman" w:hAnsi="Times New Roman"/>
          <w:szCs w:val="21"/>
        </w:rPr>
        <w:t>渝农商理财有限责任公司</w:t>
      </w:r>
      <w:r>
        <w:rPr>
          <w:rFonts w:hint="eastAsia" w:ascii="Times New Roman" w:hAnsi="Times New Roman" w:cs="宋体"/>
          <w:szCs w:val="21"/>
        </w:rPr>
        <w:t>金融机构代码【Z0028H250000001】。</w:t>
      </w:r>
    </w:p>
    <w:p w14:paraId="26CF949E">
      <w:pPr>
        <w:spacing w:line="276" w:lineRule="auto"/>
        <w:ind w:firstLine="420"/>
        <w:rPr>
          <w:rFonts w:ascii="Times New Roman" w:hAnsi="Times New Roman" w:cs="宋体"/>
          <w:b/>
          <w:bCs/>
          <w:szCs w:val="21"/>
        </w:rPr>
      </w:pPr>
      <w:r>
        <w:rPr>
          <w:rFonts w:hint="eastAsia" w:ascii="Times New Roman" w:hAnsi="Times New Roman" w:cs="宋体"/>
          <w:b/>
          <w:bCs/>
          <w:szCs w:val="21"/>
        </w:rPr>
        <w:t>（五）如需咨询或投诉请通过投资者权益须知上载明的渠道反馈。</w:t>
      </w:r>
    </w:p>
    <w:bookmarkEnd w:id="25"/>
    <w:p w14:paraId="3ABD4C59">
      <w:pPr>
        <w:spacing w:line="276" w:lineRule="auto"/>
        <w:ind w:firstLine="420"/>
        <w:rPr>
          <w:rFonts w:ascii="Times New Roman" w:hAnsi="Times New Roman" w:cs="宋体"/>
          <w:szCs w:val="21"/>
        </w:rPr>
      </w:pPr>
    </w:p>
    <w:p w14:paraId="35FC33FB">
      <w:pPr>
        <w:spacing w:line="276" w:lineRule="auto"/>
        <w:ind w:firstLine="5565" w:firstLineChars="2650"/>
        <w:rPr>
          <w:rFonts w:ascii="Times New Roman" w:hAnsi="Times New Roman"/>
          <w:kern w:val="0"/>
          <w:szCs w:val="21"/>
        </w:rPr>
      </w:pPr>
    </w:p>
    <w:p w14:paraId="4D3F0071">
      <w:pPr>
        <w:spacing w:line="276" w:lineRule="auto"/>
        <w:rPr>
          <w:rFonts w:ascii="Times New Roman" w:hAnsi="Times New Roman" w:cs="Arial"/>
          <w:szCs w:val="21"/>
        </w:rPr>
      </w:pPr>
      <w:r>
        <w:rPr>
          <w:rFonts w:hint="eastAsia" w:ascii="Times New Roman" w:hAnsi="Times New Roman" w:cs="Arial"/>
          <w:szCs w:val="21"/>
        </w:rPr>
        <w:t>个人投资者签字：</w:t>
      </w:r>
    </w:p>
    <w:p w14:paraId="0A6D7928">
      <w:pPr>
        <w:spacing w:line="276" w:lineRule="auto"/>
        <w:rPr>
          <w:rFonts w:ascii="Times New Roman" w:hAnsi="Times New Roman" w:cs="Arial"/>
          <w:szCs w:val="21"/>
        </w:rPr>
      </w:pPr>
    </w:p>
    <w:p w14:paraId="247317EF">
      <w:pPr>
        <w:spacing w:line="276" w:lineRule="auto"/>
        <w:rPr>
          <w:rFonts w:ascii="Times New Roman" w:hAnsi="Times New Roman" w:cs="Arial"/>
          <w:szCs w:val="21"/>
        </w:rPr>
      </w:pPr>
      <w:r>
        <w:rPr>
          <w:rFonts w:hint="eastAsia" w:ascii="Times New Roman" w:hAnsi="Times New Roman" w:cs="Arial"/>
          <w:szCs w:val="21"/>
        </w:rPr>
        <w:t>机构投资者（盖章）：</w:t>
      </w:r>
    </w:p>
    <w:p w14:paraId="081EC7EB">
      <w:pPr>
        <w:spacing w:line="276" w:lineRule="auto"/>
        <w:rPr>
          <w:rFonts w:ascii="Times New Roman" w:hAnsi="Times New Roman" w:cs="Arial"/>
          <w:szCs w:val="21"/>
        </w:rPr>
      </w:pPr>
    </w:p>
    <w:p w14:paraId="0423C63C">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0C7C9C53">
      <w:pPr>
        <w:spacing w:line="276" w:lineRule="auto"/>
        <w:rPr>
          <w:rFonts w:ascii="Times New Roman" w:hAnsi="Times New Roman" w:cs="Arial"/>
          <w:szCs w:val="21"/>
        </w:rPr>
      </w:pPr>
    </w:p>
    <w:p w14:paraId="3C14BF94">
      <w:pPr>
        <w:spacing w:line="276" w:lineRule="auto"/>
        <w:rPr>
          <w:rFonts w:ascii="Times New Roman" w:hAnsi="Times New Roman"/>
          <w:szCs w:val="21"/>
        </w:rPr>
      </w:pPr>
      <w:r>
        <w:rPr>
          <w:rFonts w:hint="eastAsia" w:ascii="Times New Roman" w:hAnsi="Times New Roman" w:cs="Arial"/>
          <w:szCs w:val="21"/>
        </w:rPr>
        <w:t>日期：</w:t>
      </w:r>
    </w:p>
    <w:p w14:paraId="5898B7E5">
      <w:pPr>
        <w:spacing w:line="276" w:lineRule="auto"/>
        <w:jc w:val="right"/>
        <w:rPr>
          <w:rFonts w:ascii="Times New Roman" w:hAnsi="Times New Roman" w:cs="Arial"/>
          <w:szCs w:val="21"/>
        </w:rPr>
      </w:pPr>
      <w:r>
        <w:rPr>
          <w:rFonts w:hint="eastAsia" w:ascii="Times New Roman" w:hAnsi="Times New Roman" w:cs="Arial"/>
          <w:szCs w:val="21"/>
        </w:rPr>
        <w:t xml:space="preserve"> </w:t>
      </w:r>
    </w:p>
    <w:p w14:paraId="1BDDC42C">
      <w:pPr>
        <w:spacing w:line="276" w:lineRule="auto"/>
        <w:jc w:val="right"/>
        <w:rPr>
          <w:rFonts w:ascii="Times New Roman" w:hAnsi="Times New Roman" w:cs="Arial"/>
          <w:szCs w:val="21"/>
        </w:rPr>
      </w:pPr>
    </w:p>
    <w:p w14:paraId="578F63EC">
      <w:pPr>
        <w:spacing w:line="276" w:lineRule="auto"/>
        <w:jc w:val="right"/>
        <w:rPr>
          <w:rFonts w:ascii="Times New Roman" w:hAnsi="Times New Roman" w:cs="Arial"/>
          <w:szCs w:val="21"/>
        </w:rPr>
      </w:pPr>
    </w:p>
    <w:p w14:paraId="5E2197F2">
      <w:pPr>
        <w:spacing w:line="276" w:lineRule="auto"/>
        <w:jc w:val="right"/>
        <w:rPr>
          <w:rFonts w:ascii="Times New Roman" w:hAnsi="Times New Roman"/>
          <w:szCs w:val="21"/>
        </w:rPr>
      </w:pPr>
      <w:r>
        <w:rPr>
          <w:rFonts w:hint="eastAsia" w:ascii="Times New Roman" w:hAnsi="Times New Roman" w:cs="Arial"/>
          <w:szCs w:val="21"/>
        </w:rPr>
        <w:t xml:space="preserve"> </w:t>
      </w:r>
      <w:r>
        <w:rPr>
          <w:rFonts w:hint="eastAsia" w:ascii="Times New Roman" w:hAnsi="Times New Roman"/>
          <w:szCs w:val="21"/>
        </w:rPr>
        <w:t>（2024年</w:t>
      </w:r>
      <w:r>
        <w:rPr>
          <w:rFonts w:hint="eastAsia" w:ascii="Times New Roman" w:hAnsi="Times New Roman"/>
          <w:szCs w:val="21"/>
          <w:lang w:val="en-US" w:eastAsia="zh-CN"/>
        </w:rPr>
        <w:t>12</w:t>
      </w:r>
      <w:r>
        <w:rPr>
          <w:rFonts w:hint="eastAsia" w:ascii="Times New Roman" w:hAnsi="Times New Roman"/>
          <w:szCs w:val="21"/>
        </w:rPr>
        <w:t>月</w:t>
      </w:r>
      <w:r>
        <w:rPr>
          <w:rFonts w:hint="eastAsia" w:ascii="Times New Roman" w:hAnsi="Times New Roman"/>
          <w:szCs w:val="21"/>
          <w:lang w:val="en-US" w:eastAsia="zh-CN"/>
        </w:rPr>
        <w:t>3</w:t>
      </w:r>
      <w:r>
        <w:rPr>
          <w:rFonts w:hint="eastAsia" w:ascii="Times New Roman" w:hAnsi="Times New Roman"/>
          <w:szCs w:val="21"/>
        </w:rPr>
        <w:t>日生效）</w:t>
      </w:r>
    </w:p>
    <w:p w14:paraId="2446CE2E">
      <w:pPr>
        <w:rPr>
          <w:b/>
          <w:sz w:val="32"/>
          <w:szCs w:val="32"/>
        </w:rPr>
      </w:pPr>
      <w:bookmarkStart w:id="35" w:name="_GoBack"/>
      <w:bookmarkEnd w:id="35"/>
      <w:r>
        <w:rPr>
          <w:b/>
          <w:sz w:val="32"/>
          <w:szCs w:val="32"/>
        </w:rPr>
        <w:br w:type="page"/>
      </w:r>
    </w:p>
    <w:p w14:paraId="0D85BCF6">
      <w:pPr>
        <w:pStyle w:val="48"/>
        <w:spacing w:line="276" w:lineRule="auto"/>
        <w:jc w:val="center"/>
        <w:rPr>
          <w:b/>
          <w:sz w:val="32"/>
          <w:szCs w:val="32"/>
        </w:rPr>
      </w:pPr>
    </w:p>
    <w:p w14:paraId="54803110">
      <w:pPr>
        <w:pStyle w:val="48"/>
        <w:spacing w:line="276" w:lineRule="auto"/>
        <w:jc w:val="center"/>
        <w:rPr>
          <w:b/>
          <w:sz w:val="32"/>
          <w:szCs w:val="32"/>
        </w:rPr>
      </w:pPr>
      <w:r>
        <w:rPr>
          <w:rFonts w:hint="eastAsia"/>
          <w:b/>
          <w:sz w:val="32"/>
          <w:szCs w:val="32"/>
        </w:rPr>
        <w:t>渝农商理财有限责任公司</w:t>
      </w:r>
    </w:p>
    <w:p w14:paraId="4E38BE9A">
      <w:pPr>
        <w:pStyle w:val="48"/>
        <w:spacing w:line="276" w:lineRule="auto"/>
        <w:jc w:val="center"/>
        <w:rPr>
          <w:b/>
          <w:sz w:val="32"/>
          <w:szCs w:val="32"/>
        </w:rPr>
      </w:pPr>
      <w:r>
        <w:rPr>
          <w:rFonts w:hint="eastAsia"/>
          <w:b/>
          <w:sz w:val="32"/>
          <w:szCs w:val="32"/>
        </w:rPr>
        <w:t>渝农商理财渝盈宝天添向上6号</w:t>
      </w:r>
    </w:p>
    <w:p w14:paraId="548717F4">
      <w:pPr>
        <w:pStyle w:val="48"/>
        <w:spacing w:line="276" w:lineRule="auto"/>
        <w:jc w:val="center"/>
        <w:rPr>
          <w:b/>
          <w:sz w:val="32"/>
          <w:szCs w:val="32"/>
        </w:rPr>
      </w:pPr>
      <w:r>
        <w:rPr>
          <w:rFonts w:hint="eastAsia"/>
          <w:b/>
          <w:sz w:val="32"/>
          <w:szCs w:val="32"/>
        </w:rPr>
        <w:t>理财产品风险揭示书</w:t>
      </w:r>
    </w:p>
    <w:p w14:paraId="49C01B37">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05DA019C">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6F366F9C">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4F358DF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4D79C76E">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27"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27"/>
      <w:r>
        <w:rPr>
          <w:rFonts w:hint="eastAsia" w:ascii="Times New Roman" w:hAnsi="Times New Roman" w:eastAsia="宋体"/>
          <w:b/>
          <w:szCs w:val="21"/>
        </w:rPr>
        <w:t>。</w:t>
      </w:r>
    </w:p>
    <w:p w14:paraId="3BFFD90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2D26EFF1">
      <w:pPr>
        <w:pStyle w:val="36"/>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3954E89B">
      <w:pPr>
        <w:pStyle w:val="36"/>
        <w:tabs>
          <w:tab w:val="left" w:pos="420"/>
        </w:tabs>
        <w:spacing w:line="276" w:lineRule="auto"/>
        <w:ind w:firstLine="422"/>
        <w:rPr>
          <w:b/>
          <w:szCs w:val="21"/>
        </w:rPr>
      </w:pPr>
      <w:r>
        <w:rPr>
          <w:rFonts w:hint="eastAsia"/>
          <w:b/>
          <w:szCs w:val="21"/>
        </w:rPr>
        <w:t>四、本理财产品属于固定收益类非保本浮动收益型，产品无固定期限（</w:t>
      </w:r>
      <w:bookmarkStart w:id="28" w:name="_Hlk90482477"/>
      <w:r>
        <w:rPr>
          <w:rFonts w:hint="eastAsia"/>
          <w:b/>
          <w:szCs w:val="21"/>
        </w:rPr>
        <w:t>若产品提前终止，以产品实际存续天数为准</w:t>
      </w:r>
      <w:bookmarkEnd w:id="28"/>
      <w:r>
        <w:rPr>
          <w:rFonts w:hint="eastAsia"/>
          <w:b/>
          <w:szCs w:val="21"/>
        </w:rPr>
        <w:t>），产品管理人对本理财产品的内部风险评级为</w:t>
      </w:r>
      <w:r>
        <w:rPr>
          <w:b/>
          <w:szCs w:val="21"/>
        </w:rPr>
        <w:t>一</w:t>
      </w:r>
      <w:r>
        <w:rPr>
          <w:rFonts w:hint="eastAsia"/>
          <w:b/>
          <w:szCs w:val="21"/>
        </w:rPr>
        <w:t>级，</w:t>
      </w:r>
      <w:r>
        <w:rPr>
          <w:b/>
          <w:szCs w:val="21"/>
        </w:rPr>
        <w:t>适合保守型、稳健型、平衡型、积极型、激进型的个人投资者，机构投资者购买</w:t>
      </w:r>
      <w:r>
        <w:rPr>
          <w:rFonts w:hint="eastAsia"/>
          <w:b/>
          <w:szCs w:val="21"/>
        </w:rPr>
        <w:t>。</w:t>
      </w:r>
      <w:r>
        <w:rPr>
          <w:rFonts w:hint="eastAsia"/>
          <w:bCs/>
          <w:szCs w:val="21"/>
        </w:rPr>
        <w:t>产品要素详见《理财产品说明书》。</w:t>
      </w:r>
      <w:r>
        <w:rPr>
          <w:rFonts w:hint="eastAsia"/>
          <w:b/>
          <w:szCs w:val="21"/>
        </w:rPr>
        <w:t xml:space="preserve"> </w:t>
      </w:r>
    </w:p>
    <w:p w14:paraId="1E561566">
      <w:pPr>
        <w:pStyle w:val="36"/>
        <w:tabs>
          <w:tab w:val="left" w:pos="420"/>
        </w:tabs>
        <w:spacing w:line="276" w:lineRule="auto"/>
        <w:ind w:firstLine="422"/>
        <w:rPr>
          <w:b/>
          <w:szCs w:val="21"/>
        </w:rPr>
      </w:pPr>
      <w:r>
        <w:rPr>
          <w:rFonts w:hint="eastAsia"/>
          <w:b/>
          <w:szCs w:val="21"/>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6A241783">
      <w:pPr>
        <w:pStyle w:val="36"/>
        <w:tabs>
          <w:tab w:val="left" w:pos="420"/>
        </w:tabs>
        <w:spacing w:line="276" w:lineRule="auto"/>
        <w:ind w:firstLine="422"/>
        <w:rPr>
          <w:b/>
          <w:szCs w:val="21"/>
        </w:rPr>
      </w:pPr>
      <w:r>
        <w:rPr>
          <w:rFonts w:hint="eastAsia"/>
          <w:b/>
          <w:szCs w:val="21"/>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278ECC88">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3DB77174">
      <w:pPr>
        <w:pStyle w:val="36"/>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355767FB">
      <w:pPr>
        <w:pStyle w:val="36"/>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40CAFBA5">
      <w:pPr>
        <w:pStyle w:val="36"/>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654A093B">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169D0372">
      <w:pPr>
        <w:pStyle w:val="36"/>
        <w:spacing w:line="276" w:lineRule="auto"/>
        <w:ind w:firstLine="422"/>
        <w:rPr>
          <w:bCs/>
          <w:szCs w:val="21"/>
        </w:rPr>
      </w:pPr>
      <w:r>
        <w:rPr>
          <w:rFonts w:hint="eastAsia"/>
          <w:b/>
          <w:szCs w:val="21"/>
        </w:rPr>
        <w:t>4、流动性风险：</w:t>
      </w:r>
      <w:r>
        <w:rPr>
          <w:rFonts w:hint="eastAsia"/>
          <w:bCs/>
          <w:szCs w:val="21"/>
        </w:rPr>
        <w:t>在产品存续期内，</w:t>
      </w:r>
      <w:bookmarkStart w:id="29" w:name="_Hlk90482584"/>
      <w:r>
        <w:rPr>
          <w:rFonts w:hint="eastAsia"/>
          <w:bCs/>
          <w:szCs w:val="21"/>
        </w:rPr>
        <w:t>投资者只能在《理财产品说明书》约定的开放期或开放日（如有）办理赎回</w:t>
      </w:r>
      <w:bookmarkEnd w:id="29"/>
      <w:r>
        <w:rPr>
          <w:rFonts w:hint="eastAsia"/>
          <w:bCs/>
          <w:szCs w:val="21"/>
        </w:rPr>
        <w:t>，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55B631EB">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5510EFA9">
      <w:pPr>
        <w:pStyle w:val="36"/>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1F842B6F">
      <w:pPr>
        <w:pStyle w:val="36"/>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0767140C">
      <w:pPr>
        <w:pStyle w:val="36"/>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3CED89A1">
      <w:pPr>
        <w:pStyle w:val="4"/>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3871E382">
      <w:pPr>
        <w:pStyle w:val="6"/>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6789F789">
      <w:pPr>
        <w:pStyle w:val="36"/>
        <w:numPr>
          <w:ilvl w:val="255"/>
          <w:numId w:val="0"/>
        </w:numPr>
        <w:tabs>
          <w:tab w:val="left" w:pos="720"/>
        </w:tabs>
        <w:spacing w:after="93" w:afterLines="30" w:line="276" w:lineRule="auto"/>
        <w:ind w:firstLine="422" w:firstLineChars="200"/>
        <w:rPr>
          <w:szCs w:val="21"/>
        </w:rPr>
      </w:pPr>
      <w:r>
        <w:rPr>
          <w:rFonts w:hint="eastAsia"/>
          <w:b/>
          <w:bCs/>
          <w:szCs w:val="21"/>
        </w:rPr>
        <w:t>（1）债券投资风险（如有）</w:t>
      </w:r>
      <w:r>
        <w:rPr>
          <w:rFonts w:hint="eastAsia"/>
          <w:szCs w:val="21"/>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1A46C6F9">
      <w:pPr>
        <w:pStyle w:val="36"/>
        <w:tabs>
          <w:tab w:val="left" w:pos="720"/>
        </w:tabs>
        <w:spacing w:after="93" w:afterLines="30" w:line="276" w:lineRule="auto"/>
        <w:ind w:firstLine="422"/>
        <w:rPr>
          <w:szCs w:val="21"/>
        </w:rPr>
      </w:pPr>
      <w:r>
        <w:rPr>
          <w:rFonts w:hint="eastAsia"/>
          <w:b/>
          <w:bCs/>
          <w:szCs w:val="21"/>
        </w:rPr>
        <w:t>（2）资产支持证券/资产支持票据投资风险（如有）</w:t>
      </w:r>
      <w:r>
        <w:rPr>
          <w:rFonts w:hint="eastAsia"/>
          <w:szCs w:val="21"/>
        </w:rPr>
        <w:t>：若资产支持证券或资产支持票据项下的基础资产发生原始权益人破产或基础资产项下现金流未能及时完整取得等情况，可能因此影响投资者收益，甚至使本理财产品遭受损失。</w:t>
      </w:r>
    </w:p>
    <w:p w14:paraId="068EC158">
      <w:pPr>
        <w:pStyle w:val="36"/>
        <w:tabs>
          <w:tab w:val="left" w:pos="720"/>
        </w:tabs>
        <w:spacing w:after="93" w:afterLines="30" w:line="276" w:lineRule="auto"/>
        <w:ind w:firstLine="422"/>
        <w:rPr>
          <w:szCs w:val="21"/>
        </w:rPr>
      </w:pPr>
      <w:r>
        <w:rPr>
          <w:rFonts w:hint="eastAsia"/>
          <w:b/>
          <w:bCs/>
          <w:szCs w:val="21"/>
        </w:rPr>
        <w:t>（3）可转换债券、可交换债券投资风险（如有）</w:t>
      </w:r>
      <w:r>
        <w:rPr>
          <w:rFonts w:hint="eastAsia"/>
          <w:szCs w:val="21"/>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245D1D11">
      <w:pPr>
        <w:pStyle w:val="36"/>
        <w:tabs>
          <w:tab w:val="left" w:pos="720"/>
        </w:tabs>
        <w:spacing w:after="93" w:afterLines="30" w:line="276" w:lineRule="auto"/>
        <w:ind w:firstLine="422"/>
        <w:rPr>
          <w:szCs w:val="21"/>
        </w:rPr>
      </w:pPr>
      <w:r>
        <w:rPr>
          <w:rFonts w:hint="eastAsia"/>
          <w:b/>
          <w:bCs/>
          <w:szCs w:val="21"/>
        </w:rPr>
        <w:t>（4）股票投资风险（如有）</w:t>
      </w:r>
      <w:r>
        <w:rPr>
          <w:rFonts w:hint="eastAsia"/>
          <w:szCs w:val="21"/>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0C35AE9E">
      <w:pPr>
        <w:pStyle w:val="36"/>
        <w:tabs>
          <w:tab w:val="left" w:pos="720"/>
        </w:tabs>
        <w:spacing w:after="93" w:afterLines="30" w:line="276" w:lineRule="auto"/>
        <w:ind w:firstLine="422"/>
        <w:rPr>
          <w:szCs w:val="21"/>
        </w:rPr>
      </w:pPr>
      <w:r>
        <w:rPr>
          <w:rFonts w:hint="eastAsia"/>
          <w:b/>
          <w:bCs/>
          <w:szCs w:val="21"/>
        </w:rPr>
        <w:t>（5）非标准化债权类资产投资风险（如有）</w:t>
      </w:r>
      <w:r>
        <w:rPr>
          <w:rFonts w:hint="eastAsia"/>
          <w:szCs w:val="21"/>
        </w:rPr>
        <w:t>：由于还款履约能力发生变化等原因，融资方/义务人可能无法偿还或逾期偿还相关融资本金利息，或无法履行相关合同约定的其他义务，或者因融资方/义务人按照相关合同的约定申请提前/立即偿还款项或者融资方/义务人发生相关合同约定的违约情形，或者由于市场原因、政府机构等原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8D9F854">
      <w:pPr>
        <w:pStyle w:val="36"/>
        <w:tabs>
          <w:tab w:val="left" w:pos="720"/>
        </w:tabs>
        <w:spacing w:after="93" w:afterLines="30" w:line="276" w:lineRule="auto"/>
        <w:ind w:firstLine="422"/>
        <w:rPr>
          <w:szCs w:val="21"/>
        </w:rPr>
      </w:pPr>
      <w:r>
        <w:rPr>
          <w:rFonts w:hint="eastAsia"/>
          <w:b/>
          <w:bCs/>
          <w:szCs w:val="21"/>
        </w:rPr>
        <w:t>（6）公募基金、资产管理计划、信托计划、信托受益权等资产投资风险（如有）</w:t>
      </w:r>
      <w:r>
        <w:rPr>
          <w:rFonts w:hint="eastAsia"/>
          <w:szCs w:val="21"/>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58FA80F7">
      <w:pPr>
        <w:pStyle w:val="36"/>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5E701075">
      <w:pPr>
        <w:pStyle w:val="36"/>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5B1E363C">
      <w:pPr>
        <w:pStyle w:val="36"/>
        <w:spacing w:line="276" w:lineRule="auto"/>
        <w:ind w:firstLine="422"/>
        <w:rPr>
          <w:bCs/>
          <w:szCs w:val="21"/>
        </w:rPr>
      </w:pPr>
      <w:r>
        <w:rPr>
          <w:b/>
          <w:szCs w:val="21"/>
        </w:rPr>
        <w:t>13</w:t>
      </w:r>
      <w:r>
        <w:rPr>
          <w:rFonts w:hint="eastAsia"/>
          <w:b/>
          <w:szCs w:val="21"/>
        </w:rPr>
        <w:t>、关联交易风险：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38F7AFA7">
      <w:pPr>
        <w:pStyle w:val="36"/>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6775F8B">
      <w:pPr>
        <w:pStyle w:val="36"/>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79F4564D">
      <w:pPr>
        <w:pStyle w:val="36"/>
        <w:spacing w:line="276" w:lineRule="auto"/>
        <w:ind w:firstLine="422"/>
        <w:rPr>
          <w:rFonts w:ascii="宋体" w:hAnsi="宋体"/>
          <w:szCs w:val="20"/>
        </w:rPr>
      </w:pPr>
      <w:r>
        <w:rPr>
          <w:rFonts w:hint="eastAsia"/>
          <w:b/>
          <w:bCs/>
          <w:szCs w:val="21"/>
        </w:rPr>
        <w:t>16、</w:t>
      </w:r>
      <w:r>
        <w:rPr>
          <w:rFonts w:hint="eastAsia" w:ascii="宋体" w:hAnsi="宋体"/>
          <w:b/>
          <w:szCs w:val="20"/>
        </w:rPr>
        <w:t>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68F8B28D">
      <w:pPr>
        <w:pStyle w:val="36"/>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56E5D9F3">
      <w:pPr>
        <w:spacing w:after="93" w:afterLines="30" w:line="276" w:lineRule="auto"/>
        <w:ind w:firstLine="402" w:firstLineChars="200"/>
        <w:rPr>
          <w:b/>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宋体" w:hAnsi="宋体"/>
          <w:bCs/>
          <w:iCs/>
          <w:sz w:val="20"/>
          <w:szCs w:val="20"/>
        </w:rPr>
        <w:t xml:space="preserve"> </w:t>
      </w:r>
    </w:p>
    <w:tbl>
      <w:tblPr>
        <w:tblStyle w:val="13"/>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190906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2979EE2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3D9CD4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048366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653328F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4ACDD7C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3E88BEF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15CF92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B51911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4F6BBE0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74DC1A9E">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729FECD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3DA84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800E91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73006B3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02919FDB">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6FD337C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77547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15DE68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1640A91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7D8744A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223D249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FA5D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8A0011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294ECD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14EF2DDB">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6C35E2B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7B707F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9EE8D8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0DC80CC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20F2BEF4">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19A0A99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1875C76F">
      <w:pPr>
        <w:pStyle w:val="36"/>
        <w:spacing w:line="276" w:lineRule="auto"/>
        <w:ind w:firstLine="0" w:firstLineChars="0"/>
        <w:rPr>
          <w:bCs/>
          <w:szCs w:val="21"/>
        </w:rPr>
      </w:pPr>
    </w:p>
    <w:p w14:paraId="2A0736A0">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114300" distR="114300">
                <wp:extent cx="5314950" cy="4888865"/>
                <wp:effectExtent l="6350" t="6350" r="12700" b="19685"/>
                <wp:docPr id="3" name="文本框 3"/>
                <wp:cNvGraphicFramePr/>
                <a:graphic xmlns:a="http://schemas.openxmlformats.org/drawingml/2006/main">
                  <a:graphicData uri="http://schemas.microsoft.com/office/word/2010/wordprocessingShape">
                    <wps:wsp>
                      <wps:cNvSpPr txBox="1"/>
                      <wps:spPr>
                        <a:xfrm>
                          <a:off x="0" y="0"/>
                          <a:ext cx="5314950" cy="4888865"/>
                        </a:xfrm>
                        <a:prstGeom prst="rect">
                          <a:avLst/>
                        </a:prstGeom>
                        <a:noFill/>
                        <a:ln w="12700" cap="flat" cmpd="sng">
                          <a:solidFill>
                            <a:srgbClr val="333300"/>
                          </a:solidFill>
                          <a:prstDash val="solid"/>
                          <a:miter/>
                          <a:headEnd type="none" w="med" len="med"/>
                          <a:tailEnd type="none" w="med" len="med"/>
                        </a:ln>
                      </wps:spPr>
                      <wps:txbx>
                        <w:txbxContent>
                          <w:p w14:paraId="45DBC431">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0ED8B69F">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7A87DFC2">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4B2907A8">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bCs/>
                                <w:szCs w:val="21"/>
                              </w:rPr>
                              <w:t>本人</w:t>
                            </w:r>
                            <w:r>
                              <w:rPr>
                                <w:rFonts w:ascii="Times New Roman" w:hAnsi="Times New Roman" w:eastAsia="宋体" w:cs="Arial"/>
                                <w:b/>
                                <w:bCs/>
                                <w:szCs w:val="21"/>
                              </w:rPr>
                              <w:t>/</w:t>
                            </w:r>
                            <w:r>
                              <w:rPr>
                                <w:rFonts w:hint="eastAsia" w:ascii="Times New Roman" w:hAnsi="Times New Roman" w:eastAsia="宋体" w:cs="Arial"/>
                                <w:b/>
                                <w:bCs/>
                                <w:szCs w:val="21"/>
                              </w:rPr>
                              <w:t>本机构已经阅读风险揭示，愿意承担投资风险</w:t>
                            </w:r>
                            <w:r>
                              <w:rPr>
                                <w:rFonts w:hint="eastAsia" w:ascii="Times New Roman" w:hAnsi="Times New Roman" w:eastAsia="宋体" w:cs="Arial"/>
                                <w:szCs w:val="21"/>
                              </w:rPr>
                              <w:t>。”</w:t>
                            </w:r>
                          </w:p>
                          <w:p w14:paraId="700A9919">
                            <w:pPr>
                              <w:spacing w:line="276" w:lineRule="auto"/>
                              <w:ind w:firstLine="435"/>
                              <w:rPr>
                                <w:rFonts w:ascii="Times New Roman" w:hAnsi="Times New Roman" w:eastAsia="宋体" w:cs="Arial"/>
                                <w:szCs w:val="21"/>
                                <w:u w:val="single"/>
                              </w:rPr>
                            </w:pPr>
                          </w:p>
                          <w:p w14:paraId="2741DF1A">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1228DEEE">
                            <w:pPr>
                              <w:spacing w:line="276" w:lineRule="auto"/>
                              <w:rPr>
                                <w:rFonts w:ascii="Times New Roman" w:hAnsi="Times New Roman" w:eastAsia="宋体" w:cs="Arial"/>
                                <w:szCs w:val="21"/>
                              </w:rPr>
                            </w:pPr>
                          </w:p>
                          <w:p w14:paraId="38820F2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7D827762">
                            <w:pPr>
                              <w:spacing w:line="276" w:lineRule="auto"/>
                              <w:rPr>
                                <w:rFonts w:ascii="Times New Roman" w:hAnsi="Times New Roman" w:eastAsia="宋体" w:cs="Arial"/>
                                <w:szCs w:val="21"/>
                              </w:rPr>
                            </w:pPr>
                          </w:p>
                          <w:p w14:paraId="446864D3">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0DA3E750">
                            <w:pPr>
                              <w:spacing w:line="276" w:lineRule="auto"/>
                              <w:rPr>
                                <w:rFonts w:ascii="Times New Roman" w:hAnsi="Times New Roman" w:eastAsia="宋体" w:cs="Arial"/>
                                <w:szCs w:val="21"/>
                              </w:rPr>
                            </w:pPr>
                          </w:p>
                          <w:p w14:paraId="4B404B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2E9E13FF">
                            <w:pPr>
                              <w:rPr>
                                <w:rFonts w:ascii="Times New Roman" w:hAnsi="Times New Roman" w:eastAsia="宋体" w:cs="Arial"/>
                                <w:szCs w:val="21"/>
                              </w:rPr>
                            </w:pPr>
                          </w:p>
                          <w:p w14:paraId="5B6A83C1">
                            <w:pPr>
                              <w:rPr>
                                <w:u w:val="single"/>
                              </w:rPr>
                            </w:pPr>
                            <w:r>
                              <w:rPr>
                                <w:rFonts w:hint="eastAsia" w:ascii="Times New Roman" w:hAnsi="Times New Roman" w:eastAsia="宋体" w:cs="Arial"/>
                                <w:szCs w:val="21"/>
                              </w:rPr>
                              <w:t>日期：</w:t>
                            </w:r>
                          </w:p>
                          <w:p w14:paraId="2723DE2C">
                            <w:pPr>
                              <w:ind w:left="4200" w:firstLine="420"/>
                            </w:pPr>
                          </w:p>
                        </w:txbxContent>
                      </wps:txbx>
                      <wps:bodyPr upright="1"/>
                    </wps:wsp>
                  </a:graphicData>
                </a:graphic>
              </wp:inline>
            </w:drawing>
          </mc:Choice>
          <mc:Fallback>
            <w:pict>
              <v:shape id="_x0000_s1026"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uLPs6QYCAAAPBAAADgAAAGRycy9lMm9Eb2MueG1srVNLjhMx&#10;EN0jcQfLe9L5TIahlc5IEIYNAqSBAzj+dFvyTy4n3bkA3IAVG/acK+eg7M5kYNhkQS/cZdfzq6pX&#10;5dXtYA3Zywjau4bOJlNKpONeaNc29Mvnuxc3lEBiTjDjnWzoQQK9XT9/tupDLee+80bISJDEQd2H&#10;hnYphbqqgHfSMpj4IB06lY+WJdzGthKR9chuTTWfTq+r3kcRoucSAE83o5OeGOMlhF4pzeXG852V&#10;Lo2sURqWsCTodAC6LtkqJXn6qBTIRExDsdJUVgyC9jav1XrF6jay0Gl+SoFdksKTmizTDoOeqTYs&#10;MbKL+h8qq3n04FWacG+rsZCiCFYxmz7R5r5jQZZaUGoIZ9Hh/9HyD/tPkWjR0AUljlls+PH7t+OP&#10;X8efX8kiy9MHqBF1HxCXhtd+wKF5OAc8zFUPKtr8x3oI+lHcw1lcOSTC8XC5mF29WqKLo+/qBr/r&#10;ZeapHq+HCOmd9JZko6ERu1dEZfv3kEboAyRHc/5OG1M6aBzpMa/5y2kOwHAsFY4DmjZgaeDawgPe&#10;aJHv5NsQ2+0bE8me4Wgs8MOrY4y/YDnghkE34oorw1htdZKxWJ1k4q0TJB0Cyufw1dCcjZWCEiPx&#10;kWWrIBPT5hIkamIcSpO1HzXOVhq2A9Jkc+vFAfuxC1G3HUpVOlLgOCdF09NM50H8c19IH9/x+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VpN11QAAAAUBAAAPAAAAAAAAAAEAIAAAACIAAABkcnMv&#10;ZG93bnJldi54bWxQSwECFAAUAAAACACHTuJAuLPs6QYCAAAPBAAADgAAAAAAAAABACAAAAAkAQAA&#10;ZHJzL2Uyb0RvYy54bWxQSwUGAAAAAAYABgBZAQAAnAUAAAAA&#10;">
                <v:fill on="f" focussize="0,0"/>
                <v:stroke weight="1pt" color="#333300" joinstyle="miter"/>
                <v:imagedata o:title=""/>
                <o:lock v:ext="edit" aspectratio="f"/>
                <v:textbox>
                  <w:txbxContent>
                    <w:p w14:paraId="45DBC431">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0ED8B69F">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7A87DFC2">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4B2907A8">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bCs/>
                          <w:szCs w:val="21"/>
                        </w:rPr>
                        <w:t>本人</w:t>
                      </w:r>
                      <w:r>
                        <w:rPr>
                          <w:rFonts w:ascii="Times New Roman" w:hAnsi="Times New Roman" w:eastAsia="宋体" w:cs="Arial"/>
                          <w:b/>
                          <w:bCs/>
                          <w:szCs w:val="21"/>
                        </w:rPr>
                        <w:t>/</w:t>
                      </w:r>
                      <w:r>
                        <w:rPr>
                          <w:rFonts w:hint="eastAsia" w:ascii="Times New Roman" w:hAnsi="Times New Roman" w:eastAsia="宋体" w:cs="Arial"/>
                          <w:b/>
                          <w:bCs/>
                          <w:szCs w:val="21"/>
                        </w:rPr>
                        <w:t>本机构已经阅读风险揭示，愿意承担投资风险</w:t>
                      </w:r>
                      <w:r>
                        <w:rPr>
                          <w:rFonts w:hint="eastAsia" w:ascii="Times New Roman" w:hAnsi="Times New Roman" w:eastAsia="宋体" w:cs="Arial"/>
                          <w:szCs w:val="21"/>
                        </w:rPr>
                        <w:t>。”</w:t>
                      </w:r>
                    </w:p>
                    <w:p w14:paraId="700A9919">
                      <w:pPr>
                        <w:spacing w:line="276" w:lineRule="auto"/>
                        <w:ind w:firstLine="435"/>
                        <w:rPr>
                          <w:rFonts w:ascii="Times New Roman" w:hAnsi="Times New Roman" w:eastAsia="宋体" w:cs="Arial"/>
                          <w:szCs w:val="21"/>
                          <w:u w:val="single"/>
                        </w:rPr>
                      </w:pPr>
                    </w:p>
                    <w:p w14:paraId="2741DF1A">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1228DEEE">
                      <w:pPr>
                        <w:spacing w:line="276" w:lineRule="auto"/>
                        <w:rPr>
                          <w:rFonts w:ascii="Times New Roman" w:hAnsi="Times New Roman" w:eastAsia="宋体" w:cs="Arial"/>
                          <w:szCs w:val="21"/>
                        </w:rPr>
                      </w:pPr>
                    </w:p>
                    <w:p w14:paraId="38820F2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7D827762">
                      <w:pPr>
                        <w:spacing w:line="276" w:lineRule="auto"/>
                        <w:rPr>
                          <w:rFonts w:ascii="Times New Roman" w:hAnsi="Times New Roman" w:eastAsia="宋体" w:cs="Arial"/>
                          <w:szCs w:val="21"/>
                        </w:rPr>
                      </w:pPr>
                    </w:p>
                    <w:p w14:paraId="446864D3">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0DA3E750">
                      <w:pPr>
                        <w:spacing w:line="276" w:lineRule="auto"/>
                        <w:rPr>
                          <w:rFonts w:ascii="Times New Roman" w:hAnsi="Times New Roman" w:eastAsia="宋体" w:cs="Arial"/>
                          <w:szCs w:val="21"/>
                        </w:rPr>
                      </w:pPr>
                    </w:p>
                    <w:p w14:paraId="4B404B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2E9E13FF">
                      <w:pPr>
                        <w:rPr>
                          <w:rFonts w:ascii="Times New Roman" w:hAnsi="Times New Roman" w:eastAsia="宋体" w:cs="Arial"/>
                          <w:szCs w:val="21"/>
                        </w:rPr>
                      </w:pPr>
                    </w:p>
                    <w:p w14:paraId="5B6A83C1">
                      <w:pPr>
                        <w:rPr>
                          <w:u w:val="single"/>
                        </w:rPr>
                      </w:pPr>
                      <w:r>
                        <w:rPr>
                          <w:rFonts w:hint="eastAsia" w:ascii="Times New Roman" w:hAnsi="Times New Roman" w:eastAsia="宋体" w:cs="Arial"/>
                          <w:szCs w:val="21"/>
                        </w:rPr>
                        <w:t>日期：</w:t>
                      </w:r>
                    </w:p>
                    <w:p w14:paraId="2723DE2C">
                      <w:pPr>
                        <w:ind w:left="4200" w:firstLine="420"/>
                      </w:pPr>
                    </w:p>
                  </w:txbxContent>
                </v:textbox>
                <w10:wrap type="none"/>
                <w10:anchorlock/>
              </v:shape>
            </w:pict>
          </mc:Fallback>
        </mc:AlternateContent>
      </w:r>
    </w:p>
    <w:p w14:paraId="6DDD44BA">
      <w:pPr>
        <w:spacing w:line="276" w:lineRule="auto"/>
        <w:ind w:left="138" w:leftChars="13" w:hanging="111" w:hangingChars="53"/>
        <w:rPr>
          <w:rFonts w:ascii="Times New Roman" w:hAnsi="Times New Roman" w:eastAsia="宋体" w:cs="Arial"/>
          <w:szCs w:val="21"/>
        </w:rPr>
      </w:pPr>
    </w:p>
    <w:p w14:paraId="0CA8EA36">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p w14:paraId="42C3BEF5">
      <w:pPr>
        <w:spacing w:line="276" w:lineRule="auto"/>
        <w:ind w:firstLine="422" w:firstLineChars="200"/>
        <w:jc w:val="right"/>
        <w:rPr>
          <w:rFonts w:ascii="Times New Roman" w:hAnsi="Times New Roman" w:eastAsia="宋体"/>
          <w:b/>
          <w:bCs/>
        </w:rPr>
      </w:pPr>
    </w:p>
    <w:p w14:paraId="5ED3B167">
      <w:pPr>
        <w:spacing w:line="276" w:lineRule="auto"/>
        <w:jc w:val="center"/>
        <w:rPr>
          <w:rFonts w:ascii="Times New Roman" w:hAnsi="Times New Roman" w:eastAsiaTheme="minorEastAsia"/>
          <w:szCs w:val="21"/>
          <w:highlight w:val="none"/>
        </w:rPr>
      </w:pPr>
    </w:p>
    <w:p w14:paraId="7BBD63CD">
      <w:pPr>
        <w:rPr>
          <w:rFonts w:hint="eastAsia" w:ascii="Times New Roman" w:hAnsi="Times New Roman" w:eastAsiaTheme="minorEastAsia"/>
          <w:b/>
          <w:sz w:val="30"/>
          <w:szCs w:val="30"/>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Theme="minorEastAsia"/>
          <w:b/>
          <w:sz w:val="30"/>
          <w:szCs w:val="30"/>
          <w:highlight w:val="none"/>
        </w:rPr>
        <w:br w:type="page"/>
      </w:r>
    </w:p>
    <w:p w14:paraId="3644409D">
      <w:pPr>
        <w:rPr>
          <w:rFonts w:hint="eastAsia" w:ascii="Times New Roman" w:hAnsi="Times New Roman" w:eastAsiaTheme="minorEastAsia"/>
          <w:b/>
          <w:sz w:val="30"/>
          <w:szCs w:val="30"/>
          <w:highlight w:val="none"/>
        </w:rPr>
      </w:pPr>
    </w:p>
    <w:p w14:paraId="46596720">
      <w:pPr>
        <w:spacing w:line="276" w:lineRule="auto"/>
        <w:jc w:val="center"/>
        <w:rPr>
          <w:rFonts w:ascii="Times New Roman" w:hAnsi="Times New Roman" w:eastAsiaTheme="minorEastAsia"/>
          <w:b/>
          <w:sz w:val="30"/>
          <w:szCs w:val="30"/>
          <w:highlight w:val="none"/>
        </w:rPr>
      </w:pPr>
      <w:r>
        <w:rPr>
          <w:rFonts w:hint="eastAsia" w:ascii="Times New Roman" w:hAnsi="Times New Roman" w:eastAsiaTheme="minorEastAsia"/>
          <w:b/>
          <w:sz w:val="30"/>
          <w:szCs w:val="30"/>
          <w:highlight w:val="none"/>
        </w:rPr>
        <w:t>渝农商理财有限责任公司</w:t>
      </w:r>
    </w:p>
    <w:p w14:paraId="6B8F467C">
      <w:pPr>
        <w:spacing w:line="276" w:lineRule="auto"/>
        <w:jc w:val="center"/>
        <w:rPr>
          <w:rFonts w:ascii="Times New Roman" w:hAnsi="Times New Roman" w:eastAsiaTheme="minorEastAsia"/>
          <w:b/>
          <w:sz w:val="30"/>
          <w:szCs w:val="30"/>
          <w:highlight w:val="none"/>
        </w:rPr>
      </w:pPr>
      <w:r>
        <w:rPr>
          <w:rFonts w:hint="eastAsia" w:ascii="Times New Roman" w:hAnsi="Times New Roman" w:eastAsiaTheme="minorEastAsia"/>
          <w:b/>
          <w:sz w:val="30"/>
          <w:szCs w:val="30"/>
          <w:highlight w:val="none"/>
        </w:rPr>
        <w:t>理财产品投资者权益须知</w:t>
      </w:r>
    </w:p>
    <w:p w14:paraId="1519A63B">
      <w:pPr>
        <w:spacing w:line="276" w:lineRule="auto"/>
        <w:rPr>
          <w:rFonts w:ascii="Times New Roman" w:hAnsi="Times New Roman" w:eastAsiaTheme="minorEastAsia"/>
          <w:szCs w:val="21"/>
          <w:highlight w:val="none"/>
        </w:rPr>
      </w:pPr>
    </w:p>
    <w:p w14:paraId="7BFD376F">
      <w:pPr>
        <w:spacing w:line="276" w:lineRule="auto"/>
        <w:rPr>
          <w:rFonts w:ascii="Times New Roman" w:hAnsi="Times New Roman" w:eastAsiaTheme="minorEastAsia"/>
          <w:szCs w:val="21"/>
          <w:highlight w:val="none"/>
        </w:rPr>
      </w:pPr>
      <w:r>
        <w:rPr>
          <w:rFonts w:hint="eastAsia" w:ascii="Times New Roman" w:hAnsi="Times New Roman" w:eastAsiaTheme="minorEastAsia"/>
          <w:szCs w:val="21"/>
          <w:highlight w:val="none"/>
        </w:rPr>
        <w:t>尊敬的投资者：</w:t>
      </w:r>
    </w:p>
    <w:p w14:paraId="695DDE64">
      <w:pPr>
        <w:spacing w:line="276" w:lineRule="auto"/>
        <w:ind w:firstLine="422" w:firstLineChars="200"/>
        <w:rPr>
          <w:rFonts w:ascii="Times New Roman" w:hAnsi="Times New Roman" w:eastAsiaTheme="minorEastAsia"/>
          <w:b/>
          <w:bCs/>
          <w:szCs w:val="21"/>
          <w:highlight w:val="none"/>
        </w:rPr>
      </w:pPr>
      <w:r>
        <w:rPr>
          <w:rFonts w:hint="eastAsia" w:ascii="Times New Roman" w:hAnsi="Times New Roman" w:eastAsiaTheme="minorEastAsia"/>
          <w:b/>
          <w:bCs/>
          <w:szCs w:val="21"/>
          <w:highlight w:val="none"/>
        </w:rPr>
        <w:t>理财非存款，产品有风险，投资须谨慎。</w:t>
      </w:r>
    </w:p>
    <w:p w14:paraId="63C8FBB3">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感谢您购买渝农商理财有限责任公司（以下简称“本公司”或“产品管理人”）的理财产品，请仔细阅读本《投资者权益须知》，行使您在本业务项下的权益。</w:t>
      </w:r>
    </w:p>
    <w:p w14:paraId="6ECCC88D">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一、您投资的理财产品由渝农商理财有限责任公司发行与管理，浙江泰隆商业银行股份有限公司</w:t>
      </w:r>
      <w:r>
        <w:rPr>
          <w:rFonts w:hint="eastAsia"/>
          <w:highlight w:val="none"/>
        </w:rPr>
        <w:t>仅为理财产品的代理销售机构，</w:t>
      </w:r>
      <w:r>
        <w:rPr>
          <w:rFonts w:hint="eastAsia" w:ascii="Times New Roman" w:hAnsi="Times New Roman" w:eastAsiaTheme="minorEastAsia"/>
          <w:bCs/>
          <w:szCs w:val="21"/>
          <w:highlight w:val="none"/>
        </w:rPr>
        <w:t>非理财产品的发行机构与管理机构。</w:t>
      </w:r>
      <w:r>
        <w:rPr>
          <w:rFonts w:hint="eastAsia" w:ascii="Times New Roman" w:hAnsi="Times New Roman" w:eastAsiaTheme="minorEastAsia"/>
          <w:b/>
          <w:szCs w:val="21"/>
          <w:highlight w:val="none"/>
        </w:rPr>
        <w:t>为保障您的合法权益，请您在进行投资时，警惕任何人与机构假借本公司理财产品之名推介、推销其他类型金融产品。</w:t>
      </w:r>
    </w:p>
    <w:p w14:paraId="0C92FCA2">
      <w:pPr>
        <w:spacing w:line="276" w:lineRule="auto"/>
        <w:ind w:right="-159" w:firstLine="420" w:firstLineChars="200"/>
        <w:rPr>
          <w:rFonts w:ascii="Times New Roman" w:hAnsi="Times New Roman" w:eastAsiaTheme="minorEastAsia"/>
          <w:b/>
          <w:bCs w:val="0"/>
          <w:szCs w:val="21"/>
          <w:highlight w:val="none"/>
        </w:rPr>
      </w:pPr>
      <w:r>
        <w:rPr>
          <w:rFonts w:hint="eastAsia" w:ascii="Times New Roman" w:hAnsi="Times New Roman" w:eastAsiaTheme="minorEastAsia"/>
          <w:bCs/>
          <w:szCs w:val="21"/>
          <w:highlight w:val="none"/>
        </w:rPr>
        <w:t>您投资的理财产品可能产生风险，在发生最不利情况下（可能但并不一定发生），您可能无法取得收益，并可能面临损失本金的风险，</w:t>
      </w:r>
      <w:r>
        <w:rPr>
          <w:rFonts w:hint="eastAsia" w:ascii="Times New Roman" w:hAnsi="Times New Roman" w:eastAsiaTheme="minorEastAsia"/>
          <w:b/>
          <w:bCs w:val="0"/>
          <w:szCs w:val="21"/>
          <w:highlight w:val="none"/>
        </w:rPr>
        <w:t>产品投资风险由您自行承担，请您确认是否已经认真阅读《理财产品投资协议书》、《销售（代理销售）协议书》、《理财产品说明书》、《风险揭示书》等销售文件内容，清楚并了解您投资的理财产品的特点、投资方向、风险收益特征等内容，综合考虑自身的财产与收入状况、投资经验、风险承受能力和投资偏好等，独立作出决策。</w:t>
      </w:r>
    </w:p>
    <w:p w14:paraId="7217701C">
      <w:pPr>
        <w:spacing w:line="276" w:lineRule="auto"/>
        <w:ind w:right="-159" w:firstLine="422" w:firstLineChars="200"/>
        <w:rPr>
          <w:rFonts w:ascii="Times New Roman" w:hAnsi="Times New Roman" w:eastAsiaTheme="minorEastAsia"/>
          <w:b/>
          <w:bCs w:val="0"/>
          <w:szCs w:val="21"/>
          <w:highlight w:val="none"/>
        </w:rPr>
      </w:pPr>
      <w:r>
        <w:rPr>
          <w:rFonts w:hint="eastAsia" w:ascii="Times New Roman" w:hAnsi="Times New Roman" w:eastAsiaTheme="minorEastAsia"/>
          <w:b/>
          <w:bCs w:val="0"/>
          <w:szCs w:val="21"/>
          <w:highlight w:val="none"/>
        </w:rPr>
        <w:t>二、理财产品购买流程</w:t>
      </w:r>
    </w:p>
    <w:p w14:paraId="1042938D">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（一）开立或持有代理销售机构账户，该账户用于本产品的理财资金划转及兑付，您应确保持有本产品期间所指定账户不做销户。</w:t>
      </w:r>
    </w:p>
    <w:p w14:paraId="09AF398B">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（二）接受并完成代理销售机构对个人投资者的风险承受能力评估。为了及时更新您的财务状况，明确您的投资目标，</w:t>
      </w:r>
      <w:r>
        <w:rPr>
          <w:rFonts w:hint="eastAsia" w:ascii="Times New Roman" w:hAnsi="Times New Roman" w:eastAsiaTheme="minorEastAsia"/>
          <w:b/>
          <w:szCs w:val="21"/>
          <w:highlight w:val="none"/>
        </w:rPr>
        <w:t>个人投资者风险承受能力评估结果的有效期为一年，若您的风险承受能力评估结果已过有效期或者在评级结果有效期内发生了可能影响您自身风险承受能力的情形，请您在再次购买理财产品前，通过代理销售机构的营业网点、网上银行、手机银行等销售渠道重新进行风险承受能力评估。</w:t>
      </w:r>
      <w:r>
        <w:rPr>
          <w:rFonts w:hint="eastAsia" w:ascii="Times New Roman" w:hAnsi="Times New Roman" w:eastAsiaTheme="minorEastAsia"/>
          <w:bCs/>
          <w:szCs w:val="21"/>
          <w:highlight w:val="none"/>
        </w:rPr>
        <w:t>请您根据风险承受能力评估结果选择与您风险承受能力相匹配的理财产品。</w:t>
      </w:r>
    </w:p>
    <w:p w14:paraId="72E455FB">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（三）</w:t>
      </w:r>
      <w:bookmarkStart w:id="30" w:name="_Hlk46953554"/>
      <w:r>
        <w:rPr>
          <w:rFonts w:hint="eastAsia" w:ascii="Times New Roman" w:hAnsi="Times New Roman" w:eastAsiaTheme="minorEastAsia"/>
          <w:b/>
          <w:szCs w:val="21"/>
          <w:highlight w:val="none"/>
        </w:rPr>
        <w:t>请仔细阅读《理财产品投资协议书》</w:t>
      </w:r>
      <w:bookmarkEnd w:id="30"/>
      <w:r>
        <w:rPr>
          <w:rFonts w:hint="eastAsia" w:ascii="Times New Roman" w:hAnsi="Times New Roman" w:eastAsiaTheme="minorEastAsia"/>
          <w:b/>
          <w:szCs w:val="21"/>
          <w:highlight w:val="none"/>
        </w:rPr>
        <w:t>、</w:t>
      </w:r>
      <w:r>
        <w:rPr>
          <w:rFonts w:hint="eastAsia" w:ascii="Times New Roman" w:hAnsi="Times New Roman" w:eastAsiaTheme="minorEastAsia"/>
          <w:bCs/>
          <w:szCs w:val="21"/>
          <w:highlight w:val="none"/>
        </w:rPr>
        <w:t>《销售（代理销售）协议书》、</w:t>
      </w:r>
      <w:r>
        <w:rPr>
          <w:rFonts w:hint="eastAsia" w:ascii="Times New Roman" w:hAnsi="Times New Roman" w:eastAsiaTheme="minorEastAsia"/>
          <w:b/>
          <w:szCs w:val="21"/>
          <w:highlight w:val="none"/>
        </w:rPr>
        <w:t>《理财产品说明书》、《风险揭示书》、《投资者权益须知》以及其他有关文件（如有），确认已同意相关内容、充分了解相关风险并无疑问和异议后，签署相关销售文件，并办理购买手续。</w:t>
      </w:r>
    </w:p>
    <w:p w14:paraId="2B701F45">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（四）代理销售机构电子渠道（包括但不限于网上银行、手机银行等）可办理理财产品的购买手续，请以代理销售机构最终实际发售渠道为准。</w:t>
      </w:r>
    </w:p>
    <w:p w14:paraId="46DE9BBC">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三、代理销售机构浙江泰隆商业银行股份有限公司产品风险评级说明</w:t>
      </w:r>
    </w:p>
    <w:tbl>
      <w:tblPr>
        <w:tblStyle w:val="13"/>
        <w:tblW w:w="4999" w:type="pct"/>
        <w:tblInd w:w="0" w:type="dxa"/>
        <w:tblLayout w:type="autofit"/>
        <w:tblCellMar>
          <w:top w:w="0" w:type="dxa"/>
          <w:left w:w="108" w:type="dxa"/>
          <w:bottom w:w="0" w:type="dxa"/>
          <w:right w:w="108" w:type="dxa"/>
        </w:tblCellMar>
      </w:tblPr>
      <w:tblGrid>
        <w:gridCol w:w="1384"/>
        <w:gridCol w:w="1384"/>
        <w:gridCol w:w="5752"/>
      </w:tblGrid>
      <w:tr w14:paraId="6BD589C3">
        <w:trPr>
          <w:trHeight w:val="285" w:hRule="atLeast"/>
        </w:trPr>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8287">
            <w:pPr>
              <w:widowControl/>
              <w:jc w:val="center"/>
              <w:textAlignment w:val="center"/>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风险评级</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97B">
            <w:pPr>
              <w:widowControl/>
              <w:jc w:val="center"/>
              <w:textAlignment w:val="center"/>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风险水平</w:t>
            </w:r>
          </w:p>
        </w:tc>
        <w:tc>
          <w:tcPr>
            <w:tcW w:w="3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AFE9">
            <w:pPr>
              <w:widowControl/>
              <w:jc w:val="center"/>
              <w:textAlignment w:val="center"/>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目标客户</w:t>
            </w:r>
          </w:p>
        </w:tc>
      </w:tr>
      <w:tr w14:paraId="26FA3165">
        <w:tblPrEx>
          <w:tblCellMar>
            <w:top w:w="0" w:type="dxa"/>
            <w:left w:w="108" w:type="dxa"/>
            <w:bottom w:w="0" w:type="dxa"/>
            <w:right w:w="108" w:type="dxa"/>
          </w:tblCellMar>
        </w:tblPrEx>
        <w:trPr>
          <w:trHeight w:val="855" w:hRule="atLeast"/>
        </w:trPr>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7514">
            <w:pPr>
              <w:widowControl/>
              <w:jc w:val="center"/>
              <w:textAlignment w:val="center"/>
              <w:rPr>
                <w:rFonts w:asciiTheme="minorEastAsia" w:hAnsiTheme="minorEastAsia" w:eastAsiaTheme="minorEastAsia" w:cstheme="minorEastAsia"/>
                <w:color w:val="000000"/>
                <w:sz w:val="21"/>
                <w:szCs w:val="21"/>
                <w:highlight w:val="none"/>
              </w:rPr>
            </w:pPr>
            <w:r>
              <w:rPr>
                <w:rFonts w:asciiTheme="minorEastAsia" w:hAnsiTheme="minorEastAsia" w:eastAsiaTheme="minorEastAsia" w:cstheme="minorEastAsia"/>
                <w:color w:val="000000"/>
                <w:kern w:val="0"/>
                <w:sz w:val="21"/>
                <w:szCs w:val="21"/>
                <w:highlight w:val="none"/>
                <w:lang w:bidi="ar"/>
              </w:rPr>
              <w:t>PR1级</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67EB">
            <w:pPr>
              <w:widowControl/>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低</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6D5E">
            <w:pPr>
              <w:widowControl/>
              <w:jc w:val="left"/>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经浙江泰隆商业银行客户风险承受能力评估为保守型、稳健型、平衡型、进取型、激进型的有投资经验和无投资经验的客户</w:t>
            </w:r>
          </w:p>
        </w:tc>
      </w:tr>
      <w:tr w14:paraId="693D8F87">
        <w:tblPrEx>
          <w:tblCellMar>
            <w:top w:w="0" w:type="dxa"/>
            <w:left w:w="108" w:type="dxa"/>
            <w:bottom w:w="0" w:type="dxa"/>
            <w:right w:w="108" w:type="dxa"/>
          </w:tblCellMar>
        </w:tblPrEx>
        <w:trPr>
          <w:trHeight w:val="855" w:hRule="atLeast"/>
        </w:trPr>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A8AA">
            <w:pPr>
              <w:widowControl/>
              <w:jc w:val="center"/>
              <w:textAlignment w:val="center"/>
              <w:rPr>
                <w:rFonts w:asciiTheme="minorEastAsia" w:hAnsiTheme="minorEastAsia" w:eastAsiaTheme="minorEastAsia" w:cstheme="minorEastAsia"/>
                <w:color w:val="000000"/>
                <w:sz w:val="21"/>
                <w:szCs w:val="21"/>
                <w:highlight w:val="none"/>
              </w:rPr>
            </w:pPr>
            <w:r>
              <w:rPr>
                <w:rFonts w:asciiTheme="minorEastAsia" w:hAnsiTheme="minorEastAsia" w:eastAsiaTheme="minorEastAsia" w:cstheme="minorEastAsia"/>
                <w:color w:val="000000"/>
                <w:kern w:val="0"/>
                <w:sz w:val="21"/>
                <w:szCs w:val="21"/>
                <w:highlight w:val="none"/>
                <w:lang w:bidi="ar"/>
              </w:rPr>
              <w:t>PR2级</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07A1">
            <w:pPr>
              <w:widowControl/>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中低</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834A">
            <w:pPr>
              <w:widowControl/>
              <w:jc w:val="left"/>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经浙江泰隆商业银行客户风险承受能力评估为稳健型、平衡型、进取型、激进型的有投资经验和无投资经验的客户</w:t>
            </w:r>
          </w:p>
        </w:tc>
      </w:tr>
      <w:tr w14:paraId="01B57B09">
        <w:tblPrEx>
          <w:tblCellMar>
            <w:top w:w="0" w:type="dxa"/>
            <w:left w:w="108" w:type="dxa"/>
            <w:bottom w:w="0" w:type="dxa"/>
            <w:right w:w="108" w:type="dxa"/>
          </w:tblCellMar>
        </w:tblPrEx>
        <w:trPr>
          <w:trHeight w:val="855" w:hRule="atLeast"/>
        </w:trPr>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7558">
            <w:pPr>
              <w:widowControl/>
              <w:jc w:val="center"/>
              <w:textAlignment w:val="center"/>
              <w:rPr>
                <w:rFonts w:asciiTheme="minorEastAsia" w:hAnsiTheme="minorEastAsia" w:eastAsiaTheme="minorEastAsia" w:cstheme="minorEastAsia"/>
                <w:color w:val="000000"/>
                <w:sz w:val="21"/>
                <w:szCs w:val="21"/>
                <w:highlight w:val="none"/>
              </w:rPr>
            </w:pPr>
            <w:r>
              <w:rPr>
                <w:rFonts w:asciiTheme="minorEastAsia" w:hAnsiTheme="minorEastAsia" w:eastAsiaTheme="minorEastAsia" w:cstheme="minorEastAsia"/>
                <w:color w:val="000000"/>
                <w:kern w:val="0"/>
                <w:sz w:val="21"/>
                <w:szCs w:val="21"/>
                <w:highlight w:val="none"/>
                <w:lang w:bidi="ar"/>
              </w:rPr>
              <w:t>PR3级</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DF29">
            <w:pPr>
              <w:widowControl/>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中等</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0A08">
            <w:pPr>
              <w:widowControl/>
              <w:jc w:val="left"/>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经浙江泰隆商业银行客户风险承受能力评估为平衡型、进取型、激进型的有投资经验的客户</w:t>
            </w:r>
          </w:p>
        </w:tc>
      </w:tr>
      <w:tr w14:paraId="3DF6D967">
        <w:tblPrEx>
          <w:tblCellMar>
            <w:top w:w="0" w:type="dxa"/>
            <w:left w:w="108" w:type="dxa"/>
            <w:bottom w:w="0" w:type="dxa"/>
            <w:right w:w="108" w:type="dxa"/>
          </w:tblCellMar>
        </w:tblPrEx>
        <w:trPr>
          <w:trHeight w:val="570" w:hRule="atLeast"/>
        </w:trPr>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978B">
            <w:pPr>
              <w:widowControl/>
              <w:jc w:val="center"/>
              <w:textAlignment w:val="center"/>
              <w:rPr>
                <w:rFonts w:asciiTheme="minorEastAsia" w:hAnsiTheme="minorEastAsia" w:eastAsiaTheme="minorEastAsia" w:cstheme="minorEastAsia"/>
                <w:color w:val="000000"/>
                <w:sz w:val="21"/>
                <w:szCs w:val="21"/>
                <w:highlight w:val="none"/>
              </w:rPr>
            </w:pPr>
            <w:r>
              <w:rPr>
                <w:rFonts w:asciiTheme="minorEastAsia" w:hAnsiTheme="minorEastAsia" w:eastAsiaTheme="minorEastAsia" w:cstheme="minorEastAsia"/>
                <w:color w:val="000000"/>
                <w:kern w:val="0"/>
                <w:sz w:val="21"/>
                <w:szCs w:val="21"/>
                <w:highlight w:val="none"/>
                <w:lang w:bidi="ar"/>
              </w:rPr>
              <w:t>PR4级</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1628">
            <w:pPr>
              <w:widowControl/>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中高</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9EF3">
            <w:pPr>
              <w:widowControl/>
              <w:jc w:val="left"/>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经浙江泰隆商业银行客户风险承受能力评估为进取型、激进型的有投资经验的客户</w:t>
            </w:r>
          </w:p>
        </w:tc>
      </w:tr>
      <w:tr w14:paraId="455E3A95">
        <w:tblPrEx>
          <w:tblCellMar>
            <w:top w:w="0" w:type="dxa"/>
            <w:left w:w="108" w:type="dxa"/>
            <w:bottom w:w="0" w:type="dxa"/>
            <w:right w:w="108" w:type="dxa"/>
          </w:tblCellMar>
        </w:tblPrEx>
        <w:trPr>
          <w:trHeight w:val="570" w:hRule="atLeast"/>
        </w:trPr>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0212">
            <w:pPr>
              <w:widowControl/>
              <w:jc w:val="center"/>
              <w:textAlignment w:val="center"/>
              <w:rPr>
                <w:rFonts w:asciiTheme="minorEastAsia" w:hAnsiTheme="minorEastAsia" w:eastAsiaTheme="minorEastAsia" w:cstheme="minorEastAsia"/>
                <w:color w:val="000000"/>
                <w:sz w:val="21"/>
                <w:szCs w:val="21"/>
                <w:highlight w:val="none"/>
              </w:rPr>
            </w:pPr>
            <w:r>
              <w:rPr>
                <w:rFonts w:asciiTheme="minorEastAsia" w:hAnsiTheme="minorEastAsia" w:eastAsiaTheme="minorEastAsia" w:cstheme="minorEastAsia"/>
                <w:color w:val="000000"/>
                <w:kern w:val="0"/>
                <w:sz w:val="21"/>
                <w:szCs w:val="21"/>
                <w:highlight w:val="none"/>
                <w:lang w:bidi="ar"/>
              </w:rPr>
              <w:t>PR5级</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0986">
            <w:pPr>
              <w:widowControl/>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高</w:t>
            </w:r>
          </w:p>
        </w:tc>
        <w:tc>
          <w:tcPr>
            <w:tcW w:w="3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5145">
            <w:pPr>
              <w:widowControl/>
              <w:jc w:val="left"/>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经浙江泰隆商业银行客户风险承受能力评估为激进型的有投资经验的客户</w:t>
            </w:r>
          </w:p>
        </w:tc>
      </w:tr>
    </w:tbl>
    <w:p w14:paraId="0E821CCB">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四、渝农商理财</w:t>
      </w:r>
      <w:r>
        <w:rPr>
          <w:rFonts w:hint="eastAsia" w:ascii="Times New Roman" w:hAnsi="Times New Roman" w:eastAsiaTheme="minorEastAsia"/>
          <w:bCs/>
          <w:szCs w:val="21"/>
          <w:highlight w:val="none"/>
          <w:lang w:val="en-US" w:eastAsia="zh-CN"/>
        </w:rPr>
        <w:t>有限责任公司</w:t>
      </w:r>
      <w:r>
        <w:rPr>
          <w:rFonts w:hint="eastAsia" w:ascii="Times New Roman" w:hAnsi="Times New Roman" w:eastAsiaTheme="minorEastAsia"/>
          <w:bCs/>
          <w:szCs w:val="21"/>
          <w:highlight w:val="none"/>
        </w:rPr>
        <w:t>关于风险承受能力评估</w:t>
      </w:r>
    </w:p>
    <w:p w14:paraId="1A8C8237">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个人投资者应仔细阅读、填写风险评估问卷，以准确反映您的风险承受能力。风险评估问卷的填写、评分过程是代理销售机构对个人投资者风险承受能力的评估过程。</w:t>
      </w:r>
    </w:p>
    <w:p w14:paraId="5CADDFF7">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根据风险承受能力的不同，代理销售机构的理财产品投资者可以分为以下几类。</w:t>
      </w:r>
    </w:p>
    <w:p w14:paraId="115CBB98">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保守型（C1）：对于保守型投资者，此类投资者厌恶风险，投资理财的目的是为了保值，最重视的就是有没有风险，适合低风险（PR1）的产品。</w:t>
      </w:r>
    </w:p>
    <w:p w14:paraId="538E5C98">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稳健型（C2）：对于稳健型投资者，此类投资者注重获得稳定的投资回报，而不追求最大回报，能接受较小的风险波动和损失，适合中低风险（PR2）及以下的产品。</w:t>
      </w:r>
    </w:p>
    <w:p w14:paraId="6C1DF942">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平衡型（C3）：对于平衡型投资者， 此类投资者并不十分厌恶风险，会综合考虑风险和收益，能接受一定的风险波动和损失，适合中风险（PR3）及以下的产品。</w:t>
      </w:r>
    </w:p>
    <w:p w14:paraId="29B73728">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进取型（C4）：对于进取型投资者，此类投资者更能承受风险，能接受与风险博弈，适合中高风险（PR4）及以下的产品。</w:t>
      </w:r>
    </w:p>
    <w:p w14:paraId="75A918AD">
      <w:pPr>
        <w:spacing w:line="276" w:lineRule="auto"/>
        <w:ind w:right="-159" w:firstLine="420" w:firstLineChars="200"/>
        <w:rPr>
          <w:rFonts w:hint="eastAsia" w:ascii="Times New Roman" w:hAnsi="Times New Roman" w:eastAsiaTheme="minorEastAsia"/>
          <w:bCs/>
          <w:szCs w:val="21"/>
          <w:highlight w:val="none"/>
        </w:rPr>
      </w:pPr>
      <w:r>
        <w:rPr>
          <w:rFonts w:hint="eastAsia" w:ascii="Times New Roman" w:hAnsi="Times New Roman" w:eastAsiaTheme="minorEastAsia"/>
          <w:bCs/>
          <w:szCs w:val="21"/>
          <w:highlight w:val="none"/>
        </w:rPr>
        <w:t>激进型（C5）：对于激进型投资者，此类投资者对风险有很高的耐受力，能承受较大波动性和损失，适合高风险（PR5）及以下的产品。</w:t>
      </w:r>
    </w:p>
    <w:p w14:paraId="6B480C31">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以上分类为代理销售机构浙江泰隆商业银行股份有限公司设置的标准。</w:t>
      </w:r>
    </w:p>
    <w:p w14:paraId="41E3305F">
      <w:pPr>
        <w:spacing w:line="276" w:lineRule="auto"/>
        <w:ind w:right="-159" w:firstLine="422" w:firstLineChars="200"/>
        <w:rPr>
          <w:rFonts w:ascii="Times New Roman" w:hAnsi="Times New Roman" w:eastAsiaTheme="minorEastAsia"/>
          <w:b/>
          <w:szCs w:val="21"/>
          <w:highlight w:val="none"/>
        </w:rPr>
      </w:pPr>
      <w:r>
        <w:rPr>
          <w:rFonts w:hint="eastAsia" w:ascii="Times New Roman" w:hAnsi="Times New Roman" w:eastAsiaTheme="minorEastAsia"/>
          <w:b/>
          <w:szCs w:val="21"/>
          <w:highlight w:val="none"/>
        </w:rPr>
        <w:t>风险评估的有效期为</w:t>
      </w:r>
      <w:r>
        <w:rPr>
          <w:rFonts w:ascii="Times New Roman" w:hAnsi="Times New Roman" w:eastAsiaTheme="minorEastAsia"/>
          <w:b/>
          <w:szCs w:val="21"/>
          <w:highlight w:val="none"/>
        </w:rPr>
        <w:t>1</w:t>
      </w:r>
      <w:r>
        <w:rPr>
          <w:rFonts w:hint="eastAsia" w:ascii="Times New Roman" w:hAnsi="Times New Roman" w:eastAsiaTheme="minorEastAsia"/>
          <w:b/>
          <w:szCs w:val="21"/>
          <w:highlight w:val="none"/>
        </w:rPr>
        <w:t>年，超过</w:t>
      </w:r>
      <w:r>
        <w:rPr>
          <w:rFonts w:ascii="Times New Roman" w:hAnsi="Times New Roman" w:eastAsiaTheme="minorEastAsia"/>
          <w:b/>
          <w:szCs w:val="21"/>
          <w:highlight w:val="none"/>
        </w:rPr>
        <w:t>1</w:t>
      </w:r>
      <w:r>
        <w:rPr>
          <w:rFonts w:hint="eastAsia" w:ascii="Times New Roman" w:hAnsi="Times New Roman" w:eastAsiaTheme="minorEastAsia"/>
          <w:b/>
          <w:szCs w:val="21"/>
          <w:highlight w:val="none"/>
        </w:rPr>
        <w:t>年未进行风险承受能力评估或发生可能影响自身风险承受能力的情况，必须重新完成风险承受能力评估。</w:t>
      </w:r>
    </w:p>
    <w:p w14:paraId="6AF80465">
      <w:pPr>
        <w:spacing w:line="276" w:lineRule="auto"/>
        <w:ind w:right="-159" w:firstLine="422" w:firstLineChars="200"/>
        <w:rPr>
          <w:rFonts w:ascii="Times New Roman" w:hAnsi="Times New Roman" w:eastAsiaTheme="minorEastAsia"/>
          <w:b/>
          <w:bCs w:val="0"/>
          <w:szCs w:val="21"/>
          <w:highlight w:val="none"/>
        </w:rPr>
      </w:pPr>
      <w:r>
        <w:rPr>
          <w:rFonts w:hint="eastAsia" w:ascii="Times New Roman" w:hAnsi="Times New Roman" w:eastAsiaTheme="minorEastAsia"/>
          <w:b/>
          <w:bCs w:val="0"/>
          <w:szCs w:val="21"/>
          <w:highlight w:val="none"/>
        </w:rPr>
        <w:t>五、关于理财产品信息披露</w:t>
      </w:r>
    </w:p>
    <w:p w14:paraId="2F956022">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本公司将以公告或与客户约定的形式进行理财产品信息披露。</w:t>
      </w:r>
    </w:p>
    <w:p w14:paraId="79452F4A">
      <w:pPr>
        <w:spacing w:line="276" w:lineRule="auto"/>
        <w:ind w:right="-159" w:firstLine="422" w:firstLineChars="200"/>
        <w:rPr>
          <w:rFonts w:ascii="Times New Roman" w:hAnsi="Times New Roman" w:eastAsiaTheme="minorEastAsia"/>
          <w:bCs/>
          <w:szCs w:val="21"/>
          <w:highlight w:val="none"/>
        </w:rPr>
      </w:pPr>
      <w:r>
        <w:rPr>
          <w:rFonts w:hint="eastAsia" w:ascii="Times New Roman" w:hAnsi="Times New Roman" w:eastAsiaTheme="minorEastAsia"/>
          <w:b/>
          <w:szCs w:val="21"/>
          <w:highlight w:val="none"/>
        </w:rPr>
        <w:t>本公司理财产品信息披露的渠道包括但不限于：渝农商理财有限责任公司网站（</w:t>
      </w:r>
      <w:r>
        <w:rPr>
          <w:rFonts w:ascii="Times New Roman" w:hAnsi="Times New Roman" w:eastAsiaTheme="minorEastAsia"/>
          <w:b/>
          <w:szCs w:val="21"/>
          <w:highlight w:val="none"/>
        </w:rPr>
        <w:t>wm.cqrcb.com</w:t>
      </w:r>
      <w:r>
        <w:rPr>
          <w:rFonts w:hint="eastAsia" w:ascii="Times New Roman" w:hAnsi="Times New Roman" w:eastAsiaTheme="minorEastAsia"/>
          <w:b/>
          <w:szCs w:val="21"/>
          <w:highlight w:val="none"/>
        </w:rPr>
        <w:t>）、代理销售机构网站、营业网点、手机银行、网上银行等渠道，以及其他法律法规规定或与客户约定的形式</w:t>
      </w:r>
      <w:r>
        <w:rPr>
          <w:rFonts w:hint="eastAsia" w:ascii="Times New Roman" w:hAnsi="Times New Roman" w:eastAsiaTheme="minorEastAsia"/>
          <w:bCs/>
          <w:szCs w:val="21"/>
          <w:highlight w:val="none"/>
        </w:rPr>
        <w:t>；</w:t>
      </w:r>
      <w:r>
        <w:rPr>
          <w:rFonts w:hint="eastAsia" w:ascii="Times New Roman" w:hAnsi="Times New Roman" w:eastAsiaTheme="minorEastAsia"/>
          <w:b/>
          <w:bCs w:val="0"/>
          <w:szCs w:val="21"/>
          <w:highlight w:val="none"/>
        </w:rPr>
        <w:t>具体信息披露渠道和频率遵循《理财产品说明书》的约定。</w:t>
      </w:r>
      <w:r>
        <w:rPr>
          <w:rFonts w:hint="eastAsia" w:ascii="Times New Roman" w:hAnsi="Times New Roman" w:eastAsiaTheme="minorEastAsia"/>
          <w:bCs/>
          <w:szCs w:val="21"/>
          <w:highlight w:val="none"/>
        </w:rPr>
        <w:t>信息披露的渠道如需变更，本公司将通过公告或与客户约定的形式告知。</w:t>
      </w:r>
    </w:p>
    <w:p w14:paraId="557F54C7">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六、关于投诉与建议</w:t>
      </w:r>
    </w:p>
    <w:p w14:paraId="22EB997A">
      <w:pPr>
        <w:spacing w:line="276" w:lineRule="auto"/>
        <w:ind w:right="-159" w:firstLine="420" w:firstLineChars="200"/>
        <w:rPr>
          <w:highlight w:val="none"/>
        </w:rPr>
      </w:pPr>
      <w:r>
        <w:rPr>
          <w:rFonts w:hint="eastAsia" w:ascii="Times New Roman" w:hAnsi="Times New Roman" w:eastAsiaTheme="minorEastAsia"/>
          <w:bCs/>
          <w:szCs w:val="21"/>
          <w:highlight w:val="none"/>
        </w:rPr>
        <w:t>投资者对理财产品有任何投诉与建议，可通过以下渠道反映：</w:t>
      </w:r>
    </w:p>
    <w:p w14:paraId="6E98D42D">
      <w:pPr>
        <w:spacing w:line="276" w:lineRule="auto"/>
        <w:ind w:right="641" w:firstLine="420" w:firstLineChars="200"/>
        <w:rPr>
          <w:rFonts w:ascii="Times New Roman" w:hAnsi="Times New Roman" w:eastAsiaTheme="minorEastAsia"/>
          <w:szCs w:val="21"/>
          <w:highlight w:val="none"/>
        </w:rPr>
      </w:pPr>
      <w:r>
        <w:rPr>
          <w:rFonts w:hint="eastAsia" w:ascii="Times New Roman" w:hAnsi="Times New Roman" w:eastAsiaTheme="minorEastAsia"/>
          <w:szCs w:val="21"/>
          <w:highlight w:val="none"/>
        </w:rPr>
        <w:t>（一）渝农商理财有限责任公司联系方式</w:t>
      </w:r>
    </w:p>
    <w:p w14:paraId="702CB605">
      <w:pPr>
        <w:spacing w:line="276" w:lineRule="auto"/>
        <w:ind w:right="641" w:firstLine="420" w:firstLineChars="200"/>
        <w:rPr>
          <w:rFonts w:ascii="Times New Roman" w:hAnsi="Times New Roman" w:eastAsiaTheme="minorEastAsia"/>
          <w:szCs w:val="21"/>
          <w:highlight w:val="none"/>
        </w:rPr>
      </w:pPr>
      <w:r>
        <w:rPr>
          <w:rFonts w:hint="eastAsia" w:ascii="Times New Roman" w:hAnsi="Times New Roman" w:eastAsiaTheme="minorEastAsia"/>
          <w:szCs w:val="21"/>
          <w:highlight w:val="none"/>
        </w:rPr>
        <w:t>地址：重庆市江北区桂花街支路</w:t>
      </w:r>
      <w:r>
        <w:rPr>
          <w:rFonts w:ascii="Times New Roman" w:hAnsi="Times New Roman" w:eastAsiaTheme="minorEastAsia"/>
          <w:szCs w:val="21"/>
          <w:highlight w:val="none"/>
        </w:rPr>
        <w:t>10</w:t>
      </w:r>
      <w:r>
        <w:rPr>
          <w:rFonts w:hint="eastAsia" w:ascii="Times New Roman" w:hAnsi="Times New Roman" w:eastAsiaTheme="minorEastAsia"/>
          <w:szCs w:val="21"/>
          <w:highlight w:val="none"/>
        </w:rPr>
        <w:t>号成大·锦嘉国际大厦第</w:t>
      </w:r>
      <w:r>
        <w:rPr>
          <w:rFonts w:ascii="Times New Roman" w:hAnsi="Times New Roman" w:eastAsiaTheme="minorEastAsia"/>
          <w:szCs w:val="21"/>
          <w:highlight w:val="none"/>
        </w:rPr>
        <w:t>20</w:t>
      </w:r>
      <w:r>
        <w:rPr>
          <w:rFonts w:hint="eastAsia" w:ascii="Times New Roman" w:hAnsi="Times New Roman" w:eastAsiaTheme="minorEastAsia"/>
          <w:szCs w:val="21"/>
          <w:highlight w:val="none"/>
        </w:rPr>
        <w:t>层、</w:t>
      </w:r>
      <w:r>
        <w:rPr>
          <w:rFonts w:ascii="Times New Roman" w:hAnsi="Times New Roman" w:eastAsiaTheme="minorEastAsia"/>
          <w:szCs w:val="21"/>
          <w:highlight w:val="none"/>
        </w:rPr>
        <w:t>21</w:t>
      </w:r>
      <w:r>
        <w:rPr>
          <w:rFonts w:hint="eastAsia" w:ascii="Times New Roman" w:hAnsi="Times New Roman" w:eastAsiaTheme="minorEastAsia"/>
          <w:szCs w:val="21"/>
          <w:highlight w:val="none"/>
        </w:rPr>
        <w:t>层</w:t>
      </w:r>
    </w:p>
    <w:p w14:paraId="2F954A2B">
      <w:pPr>
        <w:spacing w:line="276" w:lineRule="auto"/>
        <w:ind w:right="641" w:firstLine="420" w:firstLineChars="200"/>
        <w:rPr>
          <w:rFonts w:ascii="Times New Roman" w:hAnsi="Times New Roman" w:eastAsiaTheme="minorEastAsia"/>
          <w:szCs w:val="21"/>
          <w:highlight w:val="none"/>
        </w:rPr>
      </w:pPr>
      <w:r>
        <w:rPr>
          <w:rFonts w:hint="eastAsia" w:ascii="Times New Roman" w:hAnsi="Times New Roman" w:eastAsiaTheme="minorEastAsia"/>
          <w:szCs w:val="21"/>
          <w:highlight w:val="none"/>
        </w:rPr>
        <w:t xml:space="preserve">电话：023-61111844 </w:t>
      </w:r>
    </w:p>
    <w:p w14:paraId="58FF7842">
      <w:pPr>
        <w:spacing w:line="276" w:lineRule="auto"/>
        <w:ind w:right="641" w:firstLine="420" w:firstLineChars="200"/>
        <w:rPr>
          <w:rFonts w:ascii="Times New Roman" w:hAnsi="Times New Roman" w:eastAsiaTheme="minorEastAsia"/>
          <w:szCs w:val="21"/>
          <w:highlight w:val="none"/>
        </w:rPr>
      </w:pPr>
      <w:r>
        <w:rPr>
          <w:rFonts w:hint="eastAsia" w:ascii="Times New Roman" w:hAnsi="Times New Roman" w:eastAsiaTheme="minorEastAsia"/>
          <w:szCs w:val="21"/>
          <w:highlight w:val="none"/>
        </w:rPr>
        <w:t>官网：</w:t>
      </w:r>
      <w:r>
        <w:rPr>
          <w:rFonts w:ascii="Times New Roman" w:hAnsi="Times New Roman" w:eastAsiaTheme="minorEastAsia"/>
          <w:szCs w:val="21"/>
          <w:highlight w:val="none"/>
        </w:rPr>
        <w:t>http://wm.cqrcb.com/</w:t>
      </w:r>
    </w:p>
    <w:p w14:paraId="5A341FA0">
      <w:pPr>
        <w:spacing w:line="276" w:lineRule="auto"/>
        <w:ind w:right="641" w:firstLine="420" w:firstLineChars="200"/>
        <w:rPr>
          <w:rFonts w:ascii="Times New Roman" w:hAnsi="Times New Roman" w:eastAsiaTheme="minorEastAsia"/>
          <w:szCs w:val="21"/>
          <w:highlight w:val="none"/>
        </w:rPr>
      </w:pPr>
      <w:r>
        <w:rPr>
          <w:rFonts w:hint="eastAsia" w:ascii="Times New Roman" w:hAnsi="Times New Roman" w:eastAsiaTheme="minorEastAsia"/>
          <w:szCs w:val="21"/>
          <w:highlight w:val="none"/>
        </w:rPr>
        <w:t>（二）销售机构联系方式</w:t>
      </w:r>
    </w:p>
    <w:p w14:paraId="2D45D84D">
      <w:pPr>
        <w:spacing w:line="276" w:lineRule="auto"/>
        <w:ind w:right="641" w:firstLine="420" w:firstLineChars="200"/>
        <w:rPr>
          <w:rFonts w:ascii="Times New Roman" w:hAnsi="Times New Roman" w:eastAsiaTheme="minorEastAsia"/>
          <w:szCs w:val="21"/>
          <w:highlight w:val="none"/>
        </w:rPr>
      </w:pPr>
      <w:r>
        <w:rPr>
          <w:rFonts w:hint="eastAsia" w:ascii="Times New Roman" w:hAnsi="Times New Roman" w:eastAsiaTheme="minorEastAsia"/>
          <w:szCs w:val="21"/>
          <w:highlight w:val="none"/>
        </w:rPr>
        <w:t>地址：浙江省台州市路桥区南官大道188号</w:t>
      </w:r>
    </w:p>
    <w:p w14:paraId="6B092579">
      <w:pPr>
        <w:spacing w:line="276" w:lineRule="auto"/>
        <w:ind w:right="641" w:firstLine="420" w:firstLineChars="200"/>
        <w:rPr>
          <w:rFonts w:ascii="Times New Roman" w:hAnsi="Times New Roman" w:eastAsiaTheme="minorEastAsia"/>
          <w:szCs w:val="21"/>
          <w:highlight w:val="none"/>
        </w:rPr>
      </w:pPr>
      <w:r>
        <w:rPr>
          <w:rFonts w:hint="eastAsia" w:ascii="Times New Roman" w:hAnsi="Times New Roman" w:eastAsiaTheme="minorEastAsia"/>
          <w:szCs w:val="21"/>
          <w:highlight w:val="none"/>
        </w:rPr>
        <w:t xml:space="preserve">电话：95347 </w:t>
      </w:r>
    </w:p>
    <w:p w14:paraId="10F79B5C">
      <w:pPr>
        <w:spacing w:line="276" w:lineRule="auto"/>
        <w:ind w:right="641" w:firstLine="420" w:firstLineChars="200"/>
        <w:rPr>
          <w:rFonts w:ascii="Times New Roman" w:hAnsi="Times New Roman" w:eastAsiaTheme="minorEastAsia"/>
          <w:szCs w:val="21"/>
          <w:highlight w:val="none"/>
        </w:rPr>
      </w:pPr>
      <w:r>
        <w:rPr>
          <w:rFonts w:hint="eastAsia" w:ascii="Times New Roman" w:hAnsi="Times New Roman" w:eastAsiaTheme="minorEastAsia"/>
          <w:szCs w:val="21"/>
          <w:highlight w:val="none"/>
        </w:rPr>
        <w:t xml:space="preserve">官网：http://www.zjtlcb.com </w:t>
      </w:r>
    </w:p>
    <w:p w14:paraId="77B689A7">
      <w:pPr>
        <w:spacing w:line="276" w:lineRule="auto"/>
        <w:rPr>
          <w:rFonts w:ascii="Times New Roman" w:hAnsi="Times New Roman" w:eastAsiaTheme="minorEastAsia"/>
          <w:szCs w:val="21"/>
          <w:highlight w:val="none"/>
        </w:rPr>
      </w:pPr>
    </w:p>
    <w:p w14:paraId="171BC08A">
      <w:pPr>
        <w:rPr>
          <w:rFonts w:hint="eastAsia" w:ascii="宋体" w:hAnsi="宋体"/>
          <w:b/>
          <w:sz w:val="30"/>
          <w:szCs w:val="30"/>
          <w:highlight w:val="none"/>
        </w:rPr>
      </w:pPr>
      <w:r>
        <w:rPr>
          <w:rFonts w:hint="eastAsia" w:ascii="宋体" w:hAnsi="宋体"/>
          <w:b/>
          <w:sz w:val="30"/>
          <w:szCs w:val="30"/>
          <w:highlight w:val="none"/>
        </w:rPr>
        <w:br w:type="page"/>
      </w:r>
    </w:p>
    <w:p w14:paraId="12DA17EA">
      <w:pPr>
        <w:snapToGrid w:val="0"/>
        <w:spacing w:line="276" w:lineRule="auto"/>
        <w:jc w:val="center"/>
        <w:rPr>
          <w:rFonts w:ascii="宋体" w:hAnsi="宋体"/>
          <w:b/>
          <w:sz w:val="30"/>
          <w:szCs w:val="30"/>
        </w:rPr>
      </w:pPr>
      <w:r>
        <w:rPr>
          <w:rFonts w:hint="eastAsia" w:ascii="宋体" w:hAnsi="宋体"/>
          <w:b/>
          <w:sz w:val="30"/>
          <w:szCs w:val="30"/>
        </w:rPr>
        <w:t>渝农商理财有限责任公司</w:t>
      </w:r>
    </w:p>
    <w:p w14:paraId="10169360">
      <w:pPr>
        <w:snapToGrid w:val="0"/>
        <w:spacing w:line="276" w:lineRule="auto"/>
        <w:jc w:val="center"/>
        <w:rPr>
          <w:rFonts w:ascii="宋体" w:hAnsi="宋体"/>
          <w:b/>
          <w:sz w:val="30"/>
          <w:szCs w:val="30"/>
        </w:rPr>
      </w:pPr>
      <w:r>
        <w:rPr>
          <w:rFonts w:hint="eastAsia" w:ascii="宋体" w:hAnsi="宋体"/>
          <w:b/>
          <w:sz w:val="30"/>
          <w:szCs w:val="30"/>
        </w:rPr>
        <w:t>理财产品投资协议书</w:t>
      </w:r>
    </w:p>
    <w:p w14:paraId="0C925DBB">
      <w:pPr>
        <w:snapToGrid w:val="0"/>
        <w:spacing w:line="276" w:lineRule="auto"/>
        <w:jc w:val="center"/>
        <w:rPr>
          <w:rFonts w:ascii="仿宋_GB2312" w:hAnsi="Times New Roman" w:eastAsia="仿宋_GB2312"/>
          <w:szCs w:val="21"/>
        </w:rPr>
      </w:pPr>
    </w:p>
    <w:p w14:paraId="41A4882A">
      <w:pPr>
        <w:autoSpaceDE w:val="0"/>
        <w:autoSpaceDN w:val="0"/>
        <w:adjustRightInd w:val="0"/>
        <w:snapToGrid w:val="0"/>
        <w:spacing w:line="276" w:lineRule="auto"/>
        <w:ind w:firstLine="396" w:firstLineChars="200"/>
        <w:rPr>
          <w:rFonts w:ascii="宋体"/>
          <w:b/>
          <w:bCs/>
          <w:szCs w:val="21"/>
        </w:rPr>
      </w:pPr>
      <w:r>
        <w:rPr>
          <w:rFonts w:hint="eastAsia" w:ascii="宋体" w:hAnsi="宋体"/>
          <w:spacing w:val="-6"/>
          <w:szCs w:val="21"/>
        </w:rPr>
        <w:t>经甲方（以下简称“投资者”或“甲方”）与乙方（渝农商理财有限责任公司，以下简称“渝农商理财”或“乙方”）友好协商</w:t>
      </w:r>
      <w:r>
        <w:rPr>
          <w:rFonts w:hint="eastAsia" w:ascii="宋体" w:hAnsi="宋体"/>
          <w:szCs w:val="21"/>
        </w:rPr>
        <w:t>，本着平等自愿、诚实信用的原则，就甲方购买乙方所发行的</w:t>
      </w:r>
      <w:r>
        <w:rPr>
          <w:rFonts w:hint="eastAsia" w:ascii="宋体" w:hAnsi="宋体"/>
          <w:spacing w:val="-6"/>
          <w:szCs w:val="21"/>
        </w:rPr>
        <w:t>理财产品，达成协议如下：</w:t>
      </w:r>
    </w:p>
    <w:p w14:paraId="031A2650">
      <w:pPr>
        <w:tabs>
          <w:tab w:val="left" w:pos="360"/>
        </w:tabs>
        <w:autoSpaceDE w:val="0"/>
        <w:autoSpaceDN w:val="0"/>
        <w:adjustRightInd w:val="0"/>
        <w:snapToGrid w:val="0"/>
        <w:spacing w:line="276" w:lineRule="auto"/>
        <w:ind w:firstLine="420" w:firstLineChars="200"/>
        <w:rPr>
          <w:rFonts w:hint="eastAsia" w:ascii="宋体"/>
          <w:szCs w:val="21"/>
        </w:rPr>
      </w:pPr>
      <w:r>
        <w:rPr>
          <w:rFonts w:hint="eastAsia" w:ascii="宋体" w:hAnsi="宋体"/>
          <w:szCs w:val="21"/>
        </w:rPr>
        <w:t>一、甲方自愿通过乙方直销或乙方指定的代理销售机构（以下简称“销售（代理销售）机构”）购买乙方所发行的理财产品，接受乙方提供的投资理财服务。</w:t>
      </w:r>
    </w:p>
    <w:p w14:paraId="0FEA7CC6">
      <w:pPr>
        <w:tabs>
          <w:tab w:val="left" w:pos="360"/>
        </w:tabs>
        <w:autoSpaceDE w:val="0"/>
        <w:autoSpaceDN w:val="0"/>
        <w:adjustRightInd w:val="0"/>
        <w:snapToGrid w:val="0"/>
        <w:spacing w:line="276" w:lineRule="auto"/>
        <w:ind w:firstLine="422" w:firstLineChars="200"/>
        <w:rPr>
          <w:rFonts w:ascii="宋体"/>
          <w:szCs w:val="21"/>
        </w:rPr>
      </w:pPr>
      <w:r>
        <w:rPr>
          <w:rFonts w:hint="eastAsia" w:ascii="宋体" w:hAnsi="宋体"/>
          <w:b/>
          <w:bCs/>
          <w:szCs w:val="21"/>
        </w:rPr>
        <w:t>二、风险揭示：理财非存款、产品有风险、投资须谨慎</w:t>
      </w:r>
      <w:r>
        <w:rPr>
          <w:rFonts w:hint="eastAsia" w:ascii="宋体" w:hAnsi="宋体"/>
          <w:szCs w:val="21"/>
        </w:rPr>
        <w:t>。投资理财产品可能面临信用风险、市场风险、流动性风险等风险因素，具体由乙方在每款理财产品的《理财产品说明书》、《风险揭示书》中揭示。</w:t>
      </w:r>
      <w:r>
        <w:rPr>
          <w:rFonts w:hint="eastAsia" w:ascii="宋体" w:hAnsi="宋体"/>
          <w:b/>
          <w:bCs/>
          <w:szCs w:val="21"/>
        </w:rPr>
        <w:t>甲方应仔细阅读拟购买理财产品对应的《理财产品说明书》和《风险揭示书》的详细条款并充分理解理财投资可能发生的风险</w:t>
      </w:r>
      <w:r>
        <w:rPr>
          <w:rFonts w:hint="eastAsia" w:ascii="宋体" w:hAnsi="宋体"/>
          <w:szCs w:val="21"/>
        </w:rPr>
        <w:t>。</w:t>
      </w:r>
    </w:p>
    <w:p w14:paraId="0AC77769">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三、甲方声明：</w:t>
      </w:r>
    </w:p>
    <w:p w14:paraId="6A662133">
      <w:pPr>
        <w:autoSpaceDE w:val="0"/>
        <w:autoSpaceDN w:val="0"/>
        <w:adjustRightInd w:val="0"/>
        <w:snapToGrid w:val="0"/>
        <w:spacing w:line="276" w:lineRule="auto"/>
        <w:ind w:firstLine="411" w:firstLineChars="196"/>
        <w:rPr>
          <w:rFonts w:ascii="宋体" w:hAnsi="宋体"/>
          <w:szCs w:val="21"/>
        </w:rPr>
      </w:pPr>
      <w:r>
        <w:rPr>
          <w:rFonts w:ascii="宋体" w:hAnsi="宋体"/>
          <w:szCs w:val="21"/>
        </w:rPr>
        <w:t>1.</w:t>
      </w:r>
      <w:r>
        <w:rPr>
          <w:rFonts w:hint="eastAsia" w:ascii="宋体" w:hAnsi="宋体"/>
          <w:szCs w:val="21"/>
        </w:rPr>
        <w:t>若甲方为个人投资者的，</w:t>
      </w:r>
      <w:r>
        <w:rPr>
          <w:rFonts w:hint="eastAsia" w:ascii="宋体" w:hAnsi="宋体"/>
          <w:b/>
          <w:bCs/>
          <w:szCs w:val="21"/>
        </w:rPr>
        <w:t>甲方确认</w:t>
      </w:r>
      <w:r>
        <w:rPr>
          <w:rFonts w:hint="eastAsia" w:ascii="宋体" w:hAnsi="宋体"/>
          <w:szCs w:val="21"/>
        </w:rPr>
        <w:t>其为具有完全民事行为能力的个人，具备完全适当的资格与能力订立并履行理财产品合同，不存在法律、行政法规有关规定禁止或限制投资理财产品的情形；若甲方为机构投资者的，</w:t>
      </w:r>
      <w:r>
        <w:rPr>
          <w:rFonts w:hint="eastAsia" w:ascii="宋体" w:hAnsi="宋体"/>
          <w:b/>
          <w:bCs/>
          <w:szCs w:val="21"/>
        </w:rPr>
        <w:t>甲方确认</w:t>
      </w:r>
      <w:r>
        <w:rPr>
          <w:rFonts w:hint="eastAsia" w:ascii="宋体" w:hAnsi="宋体"/>
          <w:szCs w:val="21"/>
        </w:rPr>
        <w:t>签署和履行理财产品销售文件系其真实意思表示，已经按照其章程或者其它内部管理文件的要求取得合法、有效的授权且不会违反对其有约束力的任何合同和其他法律文件。</w:t>
      </w:r>
    </w:p>
    <w:p w14:paraId="0640D788">
      <w:pPr>
        <w:autoSpaceDE w:val="0"/>
        <w:autoSpaceDN w:val="0"/>
        <w:adjustRightInd w:val="0"/>
        <w:snapToGrid w:val="0"/>
        <w:spacing w:line="276" w:lineRule="auto"/>
        <w:ind w:firstLine="422" w:firstLineChars="200"/>
        <w:rPr>
          <w:rFonts w:ascii="宋体" w:hAnsi="宋体"/>
          <w:b/>
          <w:bCs/>
          <w:szCs w:val="21"/>
        </w:rPr>
      </w:pPr>
      <w:r>
        <w:rPr>
          <w:rFonts w:ascii="宋体" w:hAnsi="宋体"/>
          <w:b/>
          <w:bCs/>
          <w:szCs w:val="21"/>
        </w:rPr>
        <w:t>2.</w:t>
      </w:r>
      <w:r>
        <w:rPr>
          <w:rFonts w:hint="eastAsia" w:ascii="宋体" w:hAnsi="宋体"/>
          <w:b/>
          <w:bCs/>
          <w:szCs w:val="21"/>
        </w:rPr>
        <w:t>甲方已经阅读《投资者权益须知》并清楚知晓其内容，接受并签署本协议书、《销售（代理销售）协议书》、《理财产品说明书》和《风险揭示书》，对有关条款不存在任何疑问或异议；甲方以其合法持有的资金购买乙方发行与管理的理财产品，并能充分理解所购买产品的内容，完全知晓产品可能存在的各种风险，愿意并能够承担风险。乙方向甲方提供的市场分析和预测仅供参考，甲方据此做出的任何决策均出于甲方自身的判断，乙方不承担任何责任。</w:t>
      </w:r>
    </w:p>
    <w:p w14:paraId="6CFAE846">
      <w:pPr>
        <w:autoSpaceDE w:val="0"/>
        <w:autoSpaceDN w:val="0"/>
        <w:adjustRightInd w:val="0"/>
        <w:snapToGrid w:val="0"/>
        <w:spacing w:line="276" w:lineRule="auto"/>
        <w:ind w:firstLine="420" w:firstLineChars="200"/>
        <w:rPr>
          <w:rFonts w:hint="eastAsia" w:ascii="宋体"/>
          <w:bCs/>
          <w:szCs w:val="21"/>
        </w:rPr>
      </w:pPr>
      <w:r>
        <w:rPr>
          <w:rFonts w:hint="eastAsia" w:ascii="宋体"/>
          <w:bCs/>
          <w:szCs w:val="21"/>
        </w:rPr>
        <w:t>3</w:t>
      </w:r>
      <w:r>
        <w:rPr>
          <w:rFonts w:ascii="宋体"/>
          <w:bCs/>
          <w:szCs w:val="21"/>
        </w:rPr>
        <w:t>.</w:t>
      </w:r>
      <w:r>
        <w:rPr>
          <w:rFonts w:hint="eastAsia" w:ascii="宋体"/>
          <w:bCs/>
          <w:szCs w:val="21"/>
        </w:rPr>
        <w:t>甲方同意，未经乙方同意，甲方不得将本协议或本协议的各组成文件（包括单独和整体）及本协议或本协议的各组成文件项下的任何权利、利益、权益（包括单独和整体）转让、赠与或以其他方式转让给任何第三人。</w:t>
      </w:r>
    </w:p>
    <w:p w14:paraId="7B150907">
      <w:pPr>
        <w:autoSpaceDE w:val="0"/>
        <w:autoSpaceDN w:val="0"/>
        <w:adjustRightInd w:val="0"/>
        <w:snapToGrid w:val="0"/>
        <w:spacing w:line="276" w:lineRule="auto"/>
        <w:ind w:firstLine="422" w:firstLineChars="200"/>
        <w:rPr>
          <w:rFonts w:ascii="宋体"/>
          <w:bCs/>
          <w:szCs w:val="21"/>
        </w:rPr>
      </w:pPr>
      <w:r>
        <w:rPr>
          <w:rFonts w:hint="eastAsia" w:ascii="宋体"/>
          <w:b/>
          <w:szCs w:val="21"/>
        </w:rPr>
        <w:t>4</w:t>
      </w:r>
      <w:r>
        <w:rPr>
          <w:rFonts w:ascii="宋体"/>
          <w:b/>
          <w:szCs w:val="21"/>
        </w:rPr>
        <w:t>.</w:t>
      </w:r>
      <w:r>
        <w:rPr>
          <w:rFonts w:hint="eastAsia" w:ascii="宋体"/>
          <w:b/>
          <w:szCs w:val="21"/>
        </w:rPr>
        <w:t>甲方同意，未经乙方同意，乙方不承担对第三人支付本金和收益以及相关权益的义务和责任，法律另有规定或双方另有约定除外。</w:t>
      </w:r>
    </w:p>
    <w:p w14:paraId="63D49377">
      <w:pPr>
        <w:autoSpaceDE w:val="0"/>
        <w:autoSpaceDN w:val="0"/>
        <w:adjustRightInd w:val="0"/>
        <w:snapToGrid w:val="0"/>
        <w:spacing w:line="276" w:lineRule="auto"/>
        <w:ind w:firstLine="422" w:firstLineChars="200"/>
        <w:rPr>
          <w:rFonts w:hint="eastAsia" w:ascii="宋体"/>
          <w:b/>
          <w:bCs w:val="0"/>
          <w:szCs w:val="21"/>
        </w:rPr>
      </w:pPr>
      <w:r>
        <w:rPr>
          <w:rFonts w:hint="eastAsia" w:ascii="宋体"/>
          <w:b/>
          <w:bCs w:val="0"/>
          <w:szCs w:val="21"/>
        </w:rPr>
        <w:t>5</w:t>
      </w:r>
      <w:r>
        <w:rPr>
          <w:rFonts w:ascii="宋体"/>
          <w:b/>
          <w:bCs w:val="0"/>
          <w:szCs w:val="21"/>
        </w:rPr>
        <w:t>.甲方同意</w:t>
      </w:r>
      <w:r>
        <w:rPr>
          <w:rFonts w:hint="eastAsia" w:ascii="宋体"/>
          <w:b/>
          <w:bCs w:val="0"/>
          <w:szCs w:val="21"/>
        </w:rPr>
        <w:t>，</w:t>
      </w:r>
      <w:r>
        <w:rPr>
          <w:rFonts w:ascii="宋体"/>
          <w:b/>
          <w:bCs w:val="0"/>
          <w:szCs w:val="21"/>
        </w:rPr>
        <w:t>乙方</w:t>
      </w:r>
      <w:r>
        <w:rPr>
          <w:rFonts w:hint="eastAsia" w:ascii="宋体"/>
          <w:b/>
          <w:bCs w:val="0"/>
          <w:szCs w:val="21"/>
        </w:rPr>
        <w:t>按《销售（代理销售）协议书》、</w:t>
      </w:r>
      <w:r>
        <w:rPr>
          <w:rFonts w:ascii="宋体"/>
          <w:b/>
          <w:bCs w:val="0"/>
          <w:szCs w:val="21"/>
        </w:rPr>
        <w:t>《理财产品说明书》、《风险揭示书》、《</w:t>
      </w:r>
      <w:r>
        <w:rPr>
          <w:rFonts w:hint="eastAsia" w:ascii="宋体"/>
          <w:b/>
          <w:bCs w:val="0"/>
          <w:szCs w:val="21"/>
        </w:rPr>
        <w:t>投资者</w:t>
      </w:r>
      <w:r>
        <w:rPr>
          <w:rFonts w:ascii="宋体"/>
          <w:b/>
          <w:bCs w:val="0"/>
          <w:szCs w:val="21"/>
        </w:rPr>
        <w:t>权益须知》</w:t>
      </w:r>
      <w:r>
        <w:rPr>
          <w:rFonts w:hint="eastAsia" w:ascii="宋体"/>
          <w:b/>
          <w:bCs w:val="0"/>
          <w:szCs w:val="21"/>
        </w:rPr>
        <w:t>等</w:t>
      </w:r>
      <w:r>
        <w:rPr>
          <w:rFonts w:ascii="宋体"/>
          <w:b/>
          <w:bCs w:val="0"/>
          <w:szCs w:val="21"/>
        </w:rPr>
        <w:t>销售文件的约定</w:t>
      </w:r>
      <w:r>
        <w:rPr>
          <w:rFonts w:hint="eastAsia" w:ascii="宋体"/>
          <w:b/>
          <w:bCs w:val="0"/>
          <w:szCs w:val="21"/>
        </w:rPr>
        <w:t>进行投资管理时，可以用自身</w:t>
      </w:r>
      <w:r>
        <w:rPr>
          <w:rFonts w:ascii="宋体"/>
          <w:b/>
          <w:bCs w:val="0"/>
          <w:szCs w:val="21"/>
        </w:rPr>
        <w:t>名义或理财产品名义签署协议等相关法律文件</w:t>
      </w:r>
      <w:r>
        <w:rPr>
          <w:rFonts w:hint="eastAsia" w:ascii="宋体"/>
          <w:b/>
          <w:bCs w:val="0"/>
          <w:szCs w:val="21"/>
        </w:rPr>
        <w:t>，甲方</w:t>
      </w:r>
      <w:r>
        <w:rPr>
          <w:rFonts w:ascii="宋体"/>
          <w:b/>
          <w:bCs w:val="0"/>
          <w:szCs w:val="21"/>
        </w:rPr>
        <w:t>承诺承担</w:t>
      </w:r>
      <w:r>
        <w:rPr>
          <w:rFonts w:hint="eastAsia" w:ascii="宋体"/>
          <w:b/>
          <w:bCs w:val="0"/>
          <w:szCs w:val="21"/>
        </w:rPr>
        <w:t>由此</w:t>
      </w:r>
      <w:r>
        <w:rPr>
          <w:rFonts w:ascii="宋体"/>
          <w:b/>
          <w:bCs w:val="0"/>
          <w:szCs w:val="21"/>
        </w:rPr>
        <w:t>产生的法律后果。</w:t>
      </w:r>
    </w:p>
    <w:p w14:paraId="1CDCF5B8">
      <w:pPr>
        <w:autoSpaceDE w:val="0"/>
        <w:autoSpaceDN w:val="0"/>
        <w:adjustRightInd w:val="0"/>
        <w:snapToGrid w:val="0"/>
        <w:spacing w:line="276" w:lineRule="auto"/>
        <w:ind w:firstLine="422" w:firstLineChars="200"/>
        <w:rPr>
          <w:bCs/>
          <w:szCs w:val="21"/>
        </w:rPr>
      </w:pPr>
      <w:r>
        <w:rPr>
          <w:rFonts w:hint="eastAsia" w:ascii="宋体"/>
          <w:b/>
          <w:bCs w:val="0"/>
          <w:szCs w:val="21"/>
        </w:rPr>
        <w:t>6</w:t>
      </w:r>
      <w:r>
        <w:rPr>
          <w:rFonts w:ascii="宋体"/>
          <w:b/>
          <w:bCs w:val="0"/>
          <w:szCs w:val="21"/>
        </w:rPr>
        <w:t>.</w:t>
      </w:r>
      <w:r>
        <w:rPr>
          <w:rFonts w:hint="eastAsia" w:ascii="宋体"/>
          <w:b/>
          <w:bCs w:val="0"/>
          <w:szCs w:val="21"/>
        </w:rPr>
        <w:t>甲方充分知悉并认可，乙方</w:t>
      </w:r>
      <w:r>
        <w:rPr>
          <w:rFonts w:hint="eastAsia"/>
          <w:b/>
          <w:bCs w:val="0"/>
          <w:szCs w:val="21"/>
        </w:rPr>
        <w:t>有可能在满足理财产品投资目标、投资策略和投资者利益优先原则的前提下，按照商业原则，以不优于对非关联方同类交易条件从事以下关联交易</w:t>
      </w:r>
      <w:r>
        <w:rPr>
          <w:rFonts w:hint="eastAsia"/>
          <w:bCs/>
          <w:szCs w:val="21"/>
        </w:rPr>
        <w:t>，包括且不限于：投资于乙方或托管机构的主要股东、实际控制人、一致行动人、最终受益人，托管机构，乙方同一股东或托管机构控股的机构，或者与乙方或托管机构有重大利害关系的机构发行或承销的证券；同与乙方存在关联关系的金融机构在金融市场上进行对手方交易；乙方理财产品的代理销售机构与乙方存在关联关系；或者从事其他关联交易。</w:t>
      </w:r>
    </w:p>
    <w:p w14:paraId="55839A5E">
      <w:pPr>
        <w:autoSpaceDE w:val="0"/>
        <w:autoSpaceDN w:val="0"/>
        <w:adjustRightInd w:val="0"/>
        <w:snapToGrid w:val="0"/>
        <w:spacing w:line="276" w:lineRule="auto"/>
        <w:ind w:firstLine="422" w:firstLineChars="200"/>
        <w:rPr>
          <w:rFonts w:hint="eastAsia" w:ascii="宋体"/>
          <w:b/>
          <w:szCs w:val="21"/>
        </w:rPr>
      </w:pPr>
      <w:r>
        <w:rPr>
          <w:rFonts w:hint="eastAsia" w:ascii="宋体"/>
          <w:b/>
          <w:szCs w:val="21"/>
        </w:rPr>
        <w:t>甲方同意并授权乙方在管理本理财产品时可从事上述关联交易，乙方根据上述授权进行关联交易时，无需事先取得甲方同意。</w:t>
      </w:r>
    </w:p>
    <w:p w14:paraId="1772872C">
      <w:pPr>
        <w:autoSpaceDE w:val="0"/>
        <w:autoSpaceDN w:val="0"/>
        <w:adjustRightInd w:val="0"/>
        <w:snapToGrid w:val="0"/>
        <w:spacing w:line="276" w:lineRule="auto"/>
        <w:ind w:firstLine="420" w:firstLineChars="200"/>
        <w:rPr>
          <w:rFonts w:ascii="宋体"/>
          <w:bCs/>
          <w:szCs w:val="21"/>
        </w:rPr>
      </w:pPr>
      <w:r>
        <w:rPr>
          <w:rFonts w:hint="eastAsia" w:ascii="宋体"/>
          <w:bCs/>
          <w:szCs w:val="21"/>
        </w:rPr>
        <w:t>四、本协议适用于销售（代理销售）机构销售渝农商理财发行的理财产品。与理财产品对应的《销售（代理销售）协议书》、《理财产品说明书》、《风险揭示书》和《投资者权益须知》等相关销售文件构成完整的不可分割的理财产品销售文件，与本协议具有同等法律效力。</w:t>
      </w:r>
    </w:p>
    <w:p w14:paraId="6E374545">
      <w:pPr>
        <w:autoSpaceDE w:val="0"/>
        <w:autoSpaceDN w:val="0"/>
        <w:adjustRightInd w:val="0"/>
        <w:snapToGrid w:val="0"/>
        <w:spacing w:line="276" w:lineRule="auto"/>
        <w:ind w:firstLine="422" w:firstLineChars="200"/>
        <w:rPr>
          <w:rFonts w:ascii="宋体"/>
          <w:b/>
          <w:bCs/>
          <w:szCs w:val="21"/>
        </w:rPr>
      </w:pPr>
      <w:r>
        <w:rPr>
          <w:rFonts w:hint="eastAsia" w:ascii="宋体"/>
          <w:b/>
          <w:bCs/>
          <w:szCs w:val="21"/>
        </w:rPr>
        <w:t>五、双方的权利和义务</w:t>
      </w:r>
    </w:p>
    <w:p w14:paraId="5B865474">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（一）甲方的权利和义务</w:t>
      </w:r>
    </w:p>
    <w:p w14:paraId="4216AB93">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1.甲方拥有按照理财销售文件的约定取得理财收益的权利，按照理财销售文件的约定查询获得公开披露的理财产品信息资料的权利，法律法规、理财产品销售文件规定的其他权利。</w:t>
      </w:r>
    </w:p>
    <w:p w14:paraId="0F2C7DF0">
      <w:pPr>
        <w:autoSpaceDE w:val="0"/>
        <w:autoSpaceDN w:val="0"/>
        <w:adjustRightInd w:val="0"/>
        <w:snapToGrid w:val="0"/>
        <w:spacing w:line="276" w:lineRule="auto"/>
        <w:ind w:firstLine="413" w:firstLineChars="196"/>
        <w:rPr>
          <w:rFonts w:ascii="宋体" w:hAnsi="宋体"/>
          <w:szCs w:val="21"/>
        </w:rPr>
      </w:pPr>
      <w:r>
        <w:rPr>
          <w:rFonts w:hint="eastAsia" w:ascii="宋体" w:hAnsi="宋体"/>
          <w:b/>
          <w:bCs/>
          <w:szCs w:val="21"/>
        </w:rPr>
        <w:t>2</w:t>
      </w:r>
      <w:r>
        <w:rPr>
          <w:rFonts w:ascii="宋体" w:hAnsi="宋体"/>
          <w:b/>
          <w:bCs/>
          <w:szCs w:val="21"/>
        </w:rPr>
        <w:t>.</w:t>
      </w:r>
      <w:r>
        <w:rPr>
          <w:rFonts w:hint="eastAsia" w:ascii="宋体" w:hAnsi="宋体"/>
          <w:b/>
          <w:bCs/>
          <w:szCs w:val="21"/>
        </w:rPr>
        <w:t>甲方承诺其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w:t>
      </w:r>
      <w:r>
        <w:rPr>
          <w:rFonts w:hint="eastAsia" w:ascii="宋体" w:hAnsi="宋体"/>
          <w:szCs w:val="21"/>
        </w:rPr>
        <w:t>，甲方将配合产品管理人渝农商理财及销售（代理销售）机构开展投资者身份识别及尽职调查等反洗钱</w:t>
      </w:r>
      <w:bookmarkStart w:id="31" w:name="_Hlk76411382"/>
      <w:r>
        <w:rPr>
          <w:rFonts w:hint="eastAsia" w:ascii="宋体" w:hAnsi="宋体"/>
          <w:szCs w:val="21"/>
        </w:rPr>
        <w:t>、反恐怖融资活动及非居民金融账户涉税信息尽职调查</w:t>
      </w:r>
      <w:bookmarkEnd w:id="31"/>
      <w:r>
        <w:rPr>
          <w:rFonts w:hint="eastAsia" w:ascii="宋体" w:hAnsi="宋体"/>
          <w:szCs w:val="21"/>
        </w:rPr>
        <w:t>，及时、真实、准确、完整提供身份信息及资金来源等信息。</w:t>
      </w:r>
    </w:p>
    <w:p w14:paraId="75F991A4">
      <w:pPr>
        <w:autoSpaceDE w:val="0"/>
        <w:autoSpaceDN w:val="0"/>
        <w:adjustRightInd w:val="0"/>
        <w:snapToGrid w:val="0"/>
        <w:spacing w:line="276" w:lineRule="auto"/>
        <w:ind w:firstLine="413" w:firstLineChars="196"/>
        <w:rPr>
          <w:rFonts w:hint="eastAsia" w:ascii="宋体"/>
          <w:szCs w:val="21"/>
        </w:rPr>
      </w:pPr>
      <w:r>
        <w:rPr>
          <w:rFonts w:hint="eastAsia" w:ascii="宋体"/>
          <w:b/>
          <w:bCs/>
          <w:szCs w:val="21"/>
        </w:rPr>
        <w:t>3.甲方保证以真实身份投资本理财产品，甲方承诺所提供的所有资料真实、完整、合法、有效，如有变更，甲方应及时到销售（代理销售）机构办理变更手续。</w:t>
      </w:r>
      <w:r>
        <w:rPr>
          <w:rFonts w:hint="eastAsia" w:ascii="宋体"/>
          <w:szCs w:val="21"/>
        </w:rPr>
        <w:t>若甲方未及时办理相关变更手续，由此导致的一切后果由甲方自行承担，</w:t>
      </w:r>
      <w:r>
        <w:rPr>
          <w:rFonts w:hint="eastAsia" w:ascii="宋体"/>
          <w:b/>
          <w:bCs/>
          <w:szCs w:val="21"/>
        </w:rPr>
        <w:t>乙方对此不承担任何责任。</w:t>
      </w:r>
    </w:p>
    <w:p w14:paraId="19CB4845">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在产品募集期或开放期内，如因甲方原因导致投资本金不能从其理财指定账户足额划转的，甲方对相关理财产品的购买不成功，该理财产品相关法律协议不生效，</w:t>
      </w:r>
      <w:r>
        <w:rPr>
          <w:rFonts w:hint="eastAsia" w:ascii="宋体" w:hAnsi="宋体"/>
          <w:b/>
          <w:bCs/>
          <w:szCs w:val="21"/>
        </w:rPr>
        <w:t>乙方不承担责任。</w:t>
      </w:r>
    </w:p>
    <w:p w14:paraId="18A5F965">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5.甲方对本协议及其条款负有保密义务，未经乙方书面许可，甲方不得向任何组织、个人提供或泄露与乙方有关的业务资料及信息，法律法规另有规定的除外。</w:t>
      </w:r>
    </w:p>
    <w:p w14:paraId="0BBAC6E8">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.如因甲方的原因，导致乙方对其他第三方承担赔偿责任，甲方承诺对乙方承担相应的赔偿责任。</w:t>
      </w:r>
    </w:p>
    <w:p w14:paraId="1089D7B2">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7.</w:t>
      </w:r>
      <w:r>
        <w:rPr>
          <w:rFonts w:hint="eastAsia"/>
        </w:rPr>
        <w:t>法律法规、监管文件规定或销售文件约定的其他甲方所享有的权利和应履行的义务</w:t>
      </w:r>
      <w:r>
        <w:rPr>
          <w:rFonts w:hint="eastAsia" w:ascii="宋体" w:hAnsi="宋体"/>
          <w:szCs w:val="21"/>
        </w:rPr>
        <w:t>。</w:t>
      </w:r>
    </w:p>
    <w:p w14:paraId="35E2667A">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（二）乙方的权利和义务</w:t>
      </w:r>
    </w:p>
    <w:p w14:paraId="78B2F5EB">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乙方应按照法律法规规定，并依据本协议及《销售（代理销售）协议书》、《理财产品说明书》、《风险揭示书》、《</w:t>
      </w:r>
      <w:r>
        <w:rPr>
          <w:rFonts w:hint="eastAsia" w:ascii="宋体" w:hAnsi="宋体"/>
          <w:bCs/>
          <w:szCs w:val="21"/>
        </w:rPr>
        <w:t>投资者</w:t>
      </w:r>
      <w:r>
        <w:rPr>
          <w:rFonts w:hint="eastAsia" w:ascii="宋体" w:hAnsi="宋体"/>
          <w:szCs w:val="21"/>
        </w:rPr>
        <w:t>权益须知》等销售文件约定，按照投资者利益优先为原则，诚实守信、勤勉尽职地履行受人之托、代人理财职责，但</w:t>
      </w:r>
      <w:r>
        <w:rPr>
          <w:rFonts w:hint="eastAsia" w:ascii="宋体" w:hAnsi="宋体"/>
          <w:b/>
          <w:bCs/>
          <w:szCs w:val="21"/>
        </w:rPr>
        <w:t>乙方不对任何理财产品的收益情况做出承诺或保证，亦不会承诺或保证最低收益或本金安全，甲方自行承担投资风险并获得收益。</w:t>
      </w:r>
    </w:p>
    <w:p w14:paraId="4910F0E5">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bCs/>
          <w:szCs w:val="21"/>
        </w:rPr>
        <w:t>乙方有权向甲方收取理财产品的相关费用，具体收费项目、条件、标准和方式，在《理财产品说明书》中载明</w:t>
      </w:r>
      <w:r>
        <w:rPr>
          <w:rFonts w:hint="eastAsia" w:ascii="宋体" w:hAnsi="宋体"/>
          <w:szCs w:val="21"/>
        </w:rPr>
        <w:t>。乙方亦有权根据服务项目或服务内容，对服务价格、优惠措施及其生效和终止日期、与价格相关的例外条款和限制性条款、咨询（投诉）的联系方式等信息</w:t>
      </w:r>
      <w:r>
        <w:rPr>
          <w:rFonts w:hint="eastAsia" w:ascii="宋体" w:hAnsi="宋体"/>
          <w:b/>
          <w:bCs/>
          <w:szCs w:val="21"/>
        </w:rPr>
        <w:t>通过销售（代理销售）机构手机A</w:t>
      </w:r>
      <w:r>
        <w:rPr>
          <w:rFonts w:ascii="宋体" w:hAnsi="宋体"/>
          <w:b/>
          <w:bCs/>
          <w:szCs w:val="21"/>
        </w:rPr>
        <w:t>PP</w:t>
      </w:r>
      <w:r>
        <w:rPr>
          <w:rFonts w:hint="eastAsia" w:ascii="宋体" w:hAnsi="宋体"/>
          <w:b/>
          <w:bCs/>
          <w:szCs w:val="21"/>
        </w:rPr>
        <w:t>、官方网站等渠道或乙方在《理财产品说明书》指定的信息披露渠道向甲方进行信息披露</w:t>
      </w:r>
      <w:r>
        <w:rPr>
          <w:rFonts w:hint="eastAsia" w:ascii="宋体" w:hAnsi="宋体"/>
          <w:szCs w:val="21"/>
        </w:rPr>
        <w:t>。</w:t>
      </w:r>
      <w:r>
        <w:rPr>
          <w:rFonts w:hint="eastAsia" w:ascii="宋体" w:hAnsi="宋体"/>
          <w:b/>
          <w:bCs/>
          <w:szCs w:val="21"/>
        </w:rPr>
        <w:t>乙方信息披露内容构成本协议不可分割的一部分，与本协议具有同等效力，甲方应在充分知晓、理解有关信息披露内容后签署本协议，并在签署本协议后持续关注。</w:t>
      </w:r>
    </w:p>
    <w:p w14:paraId="7723A617">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3</w:t>
      </w:r>
      <w:r>
        <w:rPr>
          <w:rFonts w:hint="eastAsia" w:ascii="宋体" w:hAnsi="宋体"/>
          <w:szCs w:val="21"/>
        </w:rPr>
        <w:t>.乙方及销售（代理销售）机构按照《理财产品说明书》约定向甲</w:t>
      </w:r>
      <w:bookmarkStart w:id="32" w:name="_Hlk46953337"/>
      <w:r>
        <w:rPr>
          <w:rFonts w:hint="eastAsia" w:ascii="宋体" w:hAnsi="宋体"/>
          <w:szCs w:val="21"/>
        </w:rPr>
        <w:t>方进行理财产品份额的收益分配和资金清算分配并将</w:t>
      </w:r>
      <w:bookmarkEnd w:id="32"/>
      <w:r>
        <w:rPr>
          <w:rFonts w:hint="eastAsia" w:ascii="宋体" w:hAnsi="宋体"/>
          <w:szCs w:val="21"/>
        </w:rPr>
        <w:t>对应资金划入甲方理财产品指定账户后，即视为乙方已向甲方完成收益分配和资金的清算分配。</w:t>
      </w:r>
      <w:r>
        <w:rPr>
          <w:rFonts w:hint="eastAsia" w:ascii="宋体" w:hAnsi="宋体"/>
          <w:b/>
          <w:bCs/>
          <w:szCs w:val="21"/>
        </w:rPr>
        <w:t>因甲方理财产品指定账户冻结、挂失、换卡、销户、长期不动户等原因造成账户变更或异常，甲方应及时到销售（代理销售）机构办理变更手续。如因甲方未及时办理变更手续而造成乙方及销售（代理销售）机构无法向甲方进行正常收益分配和资金清算分配，由此导致甲方损失的由甲方自行承担，乙方不承担责任。</w:t>
      </w:r>
    </w:p>
    <w:p w14:paraId="471572D8">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4.</w:t>
      </w:r>
      <w:r>
        <w:rPr>
          <w:rFonts w:hint="eastAsia" w:ascii="宋体" w:hAnsi="宋体"/>
          <w:szCs w:val="21"/>
        </w:rPr>
        <w:t>如因司法机关或行政机关依法对甲方采取强制措施或因第三方行使相关权利（包括但不限于质权）导致甲方本次认购或申购理财产品项下权益、理财资金或理财产品兑付回款账户被冻结、扣划，</w:t>
      </w:r>
      <w:r>
        <w:rPr>
          <w:rFonts w:hint="eastAsia" w:ascii="宋体" w:hAnsi="宋体"/>
          <w:b/>
          <w:bCs/>
          <w:szCs w:val="21"/>
        </w:rPr>
        <w:t>则乙方有权根据实际情况全额终止理财交易，并停止向甲方支付投资本金及收益，由此而产生的一切损失及费用将由甲方承担，乙方有权将此损失及费用从甲方的理财本金以及收益中扣除</w:t>
      </w:r>
      <w:r>
        <w:rPr>
          <w:rFonts w:hint="eastAsia" w:ascii="宋体" w:hAnsi="宋体"/>
          <w:szCs w:val="21"/>
        </w:rPr>
        <w:t>。</w:t>
      </w:r>
    </w:p>
    <w:p w14:paraId="667BC884">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5</w:t>
      </w:r>
      <w:r>
        <w:rPr>
          <w:rFonts w:hint="eastAsia" w:ascii="宋体" w:hAnsi="宋体"/>
          <w:szCs w:val="21"/>
        </w:rPr>
        <w:t>.乙方应按照法律法规、监管规定和理财销售文件的约定披露产品相关信息。</w:t>
      </w:r>
    </w:p>
    <w:p w14:paraId="40B8F53C">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.如果发生本理财产品所投资资产项下义务人违约等情形，</w:t>
      </w:r>
      <w:r>
        <w:rPr>
          <w:rFonts w:hint="eastAsia" w:ascii="宋体" w:hAnsi="宋体"/>
          <w:b/>
          <w:bCs/>
          <w:szCs w:val="21"/>
        </w:rPr>
        <w:t>甲方同意，乙方有权向上述义务人进行追索，追索期间所发生的费用（包括但不限于诉讼费、仲裁费、律师费等全部费用）由理财产品承担，</w:t>
      </w:r>
      <w:bookmarkStart w:id="33" w:name="_Hlk46953385"/>
      <w:r>
        <w:rPr>
          <w:rFonts w:hint="eastAsia" w:ascii="宋体" w:hAnsi="宋体"/>
          <w:b/>
          <w:bCs/>
          <w:szCs w:val="21"/>
        </w:rPr>
        <w:t>将从追索回来的款项中优先扣除</w:t>
      </w:r>
      <w:bookmarkEnd w:id="33"/>
      <w:r>
        <w:rPr>
          <w:rFonts w:hint="eastAsia" w:ascii="宋体" w:hAnsi="宋体"/>
          <w:szCs w:val="21"/>
        </w:rPr>
        <w:t>。</w:t>
      </w:r>
    </w:p>
    <w:p w14:paraId="41EA6FB2">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7</w:t>
      </w:r>
      <w:r>
        <w:rPr>
          <w:rFonts w:hint="eastAsia" w:ascii="宋体" w:hAnsi="宋体"/>
          <w:szCs w:val="21"/>
        </w:rPr>
        <w:t>.乙方作为理财产品管理人，全权负责理财产品资金的运用和理财产品资产的管理，有权参加与理财产品所投资资产相关的所有会议，并对相关事项进行表决；乙方有权代表甲方利益，按照法律法规和监管部门相关规定以及投资相关的法律文件的约定对理财产品投资产生的风险资产进行多种方式的处置，包括但不限于转让、重组、债转股、资产证券化、委外催收、抵债资产收取与处置、破产重整。</w:t>
      </w:r>
      <w:r>
        <w:rPr>
          <w:rFonts w:hint="eastAsia" w:ascii="宋体" w:hAnsi="宋体"/>
          <w:b/>
          <w:bCs/>
          <w:szCs w:val="21"/>
        </w:rPr>
        <w:t>甲方对此充分理解并同意该等授权安排。</w:t>
      </w:r>
      <w:r>
        <w:rPr>
          <w:rFonts w:hint="eastAsia" w:ascii="宋体" w:hAnsi="宋体"/>
          <w:szCs w:val="21"/>
        </w:rPr>
        <w:t xml:space="preserve"> </w:t>
      </w:r>
    </w:p>
    <w:p w14:paraId="5ECA1502">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8</w:t>
      </w:r>
      <w:r>
        <w:rPr>
          <w:rFonts w:hint="eastAsia" w:ascii="宋体" w:hAnsi="宋体"/>
          <w:szCs w:val="21"/>
        </w:rPr>
        <w:t>.乙方有权按照反洗钱、反恐怖融资、非居民金融账户涉税信息尽职调查及理财产品登记等相关法律法规和监管要求，向甲方或代理销售机构收集甲方身份信息、持有理财产品信息、理财账户信息、交易明细信息等相关信息，并按规定向监管机构、理财产品登记机构等有权机关进行登记报送。</w:t>
      </w:r>
    </w:p>
    <w:p w14:paraId="23493F8B">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在乙方办理本协议项下相关事项所必需的情形下，</w:t>
      </w:r>
      <w:r>
        <w:rPr>
          <w:rFonts w:hint="eastAsia" w:ascii="宋体" w:hAnsi="宋体"/>
          <w:b/>
          <w:bCs/>
          <w:szCs w:val="21"/>
        </w:rPr>
        <w:t>甲方同意并授权乙方向乙方集团成员、代理销售机构、服务机构及其他乙方认为必要的业务合作机构提供乙方获取的甲方个人信息，范围包括但不限于甲方的身份信息、账户信息、交易信息等个人信息。</w:t>
      </w:r>
      <w:r>
        <w:rPr>
          <w:rFonts w:hint="eastAsia" w:ascii="宋体" w:hAnsi="宋体"/>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3A29FECA">
      <w:pPr>
        <w:tabs>
          <w:tab w:val="left" w:pos="360"/>
        </w:tabs>
        <w:autoSpaceDE w:val="0"/>
        <w:autoSpaceDN w:val="0"/>
        <w:adjustRightInd w:val="0"/>
        <w:snapToGrid w:val="0"/>
        <w:spacing w:line="276" w:lineRule="auto"/>
        <w:ind w:firstLine="420" w:firstLineChars="200"/>
        <w:rPr>
          <w:rFonts w:ascii="宋体" w:hAnsi="宋体"/>
          <w:b/>
          <w:bCs/>
          <w:szCs w:val="21"/>
        </w:rPr>
      </w:pPr>
      <w:r>
        <w:rPr>
          <w:rFonts w:hint="eastAsia" w:ascii="宋体" w:hAnsi="宋体"/>
          <w:szCs w:val="21"/>
        </w:rPr>
        <w:t>乙方对理财产品销售过程中获知的甲方信息承担保密义务，非经甲方事先许可，不得向上述授权范围之外的第三方透露，但法律法规或监管规定另有要求的除外。</w:t>
      </w:r>
      <w:r>
        <w:rPr>
          <w:rFonts w:hint="eastAsia" w:ascii="宋体" w:hAnsi="宋体"/>
          <w:b/>
          <w:bCs/>
          <w:szCs w:val="21"/>
        </w:rPr>
        <w:t>甲方充分理解并同意上述授权安排，并知悉该同意的结果系为满足法律法规、监管规定或处理本协议项下事务之目的。</w:t>
      </w:r>
    </w:p>
    <w:p w14:paraId="6D2ACFCA">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9.乙方或代理销售机构发现或有合理理由怀疑甲方或其资金存在洗钱、恐怖融资、逃税等嫌疑，或甲方存在其他违约行为的，</w:t>
      </w:r>
      <w:r>
        <w:rPr>
          <w:rFonts w:hint="eastAsia" w:ascii="宋体" w:hAnsi="宋体"/>
          <w:b/>
          <w:bCs/>
          <w:szCs w:val="21"/>
        </w:rPr>
        <w:t>乙方有权提前终止本协议，造成甲方损失的，乙方不承担责任</w:t>
      </w:r>
      <w:r>
        <w:rPr>
          <w:rFonts w:hint="eastAsia" w:ascii="宋体" w:hAnsi="宋体"/>
          <w:szCs w:val="21"/>
        </w:rPr>
        <w:t>。</w:t>
      </w:r>
    </w:p>
    <w:p w14:paraId="1C1D9E54">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乙方应建立健全内部管理制度，确保每只理财产品与所投资资产相对应，做到每只理财产品单独管理、单独建账和单独核算，公平对待所管理的不同理财产品，防范利益冲突，不得将理财产品财产归入其自有资产。</w:t>
      </w:r>
    </w:p>
    <w:p w14:paraId="75FF66F3">
      <w:pPr>
        <w:autoSpaceDE w:val="0"/>
        <w:autoSpaceDN w:val="0"/>
        <w:adjustRightInd w:val="0"/>
        <w:snapToGrid w:val="0"/>
        <w:spacing w:line="276" w:lineRule="auto"/>
        <w:ind w:firstLine="420" w:firstLineChars="200"/>
        <w:rPr>
          <w:rFonts w:hint="eastAsia" w:ascii="宋体"/>
          <w:szCs w:val="21"/>
        </w:rPr>
      </w:pPr>
      <w:r>
        <w:rPr>
          <w:rFonts w:ascii="宋体" w:hAnsi="宋体"/>
          <w:szCs w:val="21"/>
        </w:rPr>
        <w:t>11</w:t>
      </w:r>
      <w:r>
        <w:rPr>
          <w:rFonts w:hint="eastAsia" w:ascii="宋体" w:hAnsi="宋体"/>
          <w:szCs w:val="21"/>
        </w:rPr>
        <w:t>.法律法规、监管文件规定或销售文件约定的其他乙方所享有的权利和应履行的义务。</w:t>
      </w:r>
    </w:p>
    <w:p w14:paraId="6C8F6EF7">
      <w:pPr>
        <w:autoSpaceDE w:val="0"/>
        <w:autoSpaceDN w:val="0"/>
        <w:adjustRightInd w:val="0"/>
        <w:snapToGrid w:val="0"/>
        <w:spacing w:line="276" w:lineRule="auto"/>
        <w:ind w:firstLine="422" w:firstLineChars="200"/>
        <w:rPr>
          <w:rFonts w:ascii="宋体"/>
          <w:b/>
          <w:szCs w:val="21"/>
        </w:rPr>
      </w:pPr>
      <w:r>
        <w:rPr>
          <w:rFonts w:hint="eastAsia" w:ascii="宋体"/>
          <w:b/>
          <w:szCs w:val="21"/>
        </w:rPr>
        <w:t>六、免责条款</w:t>
      </w:r>
    </w:p>
    <w:p w14:paraId="36A0032C">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230B8B09">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41D7BC66">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762B23B8">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七、协议的生效和终止</w:t>
      </w:r>
    </w:p>
    <w:p w14:paraId="07DA4D62">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一）甲方通过销售（代理销售）机构的营业网点等柜面渠道购买本产品的，本协议经甲方签署且乙方确认成交后生效。甲方通过销售（代理销售）机构的销售平台、网上银行、手机银行、智能柜台等电子渠道方式购买理财产品的，甲方通过点击同意本协议后且乙方确认成交后生效，双方认可电子数据的有效性。</w:t>
      </w:r>
    </w:p>
    <w:p w14:paraId="39D7B280">
      <w:pPr>
        <w:autoSpaceDE w:val="0"/>
        <w:autoSpaceDN w:val="0"/>
        <w:adjustRightInd w:val="0"/>
        <w:snapToGrid w:val="0"/>
        <w:spacing w:line="276" w:lineRule="auto"/>
        <w:ind w:firstLine="422" w:firstLineChars="200"/>
        <w:rPr>
          <w:rFonts w:hint="eastAsia" w:ascii="宋体"/>
          <w:szCs w:val="21"/>
        </w:rPr>
      </w:pPr>
      <w:r>
        <w:rPr>
          <w:rFonts w:hint="eastAsia" w:ascii="宋体" w:hAnsi="宋体"/>
          <w:b/>
          <w:bCs/>
          <w:szCs w:val="21"/>
        </w:rPr>
        <w:t>甲方知悉并确认，乙方对于理财产品项下甲方认购/申购申请的确认即视为乙方对于本协议的签署和认可，甲方不得以乙方未在本协议中签章为由主张本协议不成立或不生效。</w:t>
      </w:r>
    </w:p>
    <w:p w14:paraId="5288C5E4">
      <w:pPr>
        <w:autoSpaceDE w:val="0"/>
        <w:autoSpaceDN w:val="0"/>
        <w:adjustRightInd w:val="0"/>
        <w:snapToGrid w:val="0"/>
        <w:spacing w:line="276" w:lineRule="auto"/>
        <w:ind w:firstLine="420" w:firstLineChars="200"/>
        <w:rPr>
          <w:rFonts w:ascii="宋体"/>
          <w:szCs w:val="21"/>
        </w:rPr>
      </w:pPr>
      <w:r>
        <w:rPr>
          <w:rFonts w:hint="eastAsia" w:ascii="宋体"/>
          <w:szCs w:val="21"/>
        </w:rPr>
        <w:t xml:space="preserve">（二）除按《理财产品说明书》约定甲方或乙方享有的提前终止权或赎回权外，甲方有违约行为或交易资金被国家有权机关采取保全措施时，乙方有权提前终止本协议。 </w:t>
      </w:r>
    </w:p>
    <w:p w14:paraId="461701E3">
      <w:pPr>
        <w:autoSpaceDE w:val="0"/>
        <w:autoSpaceDN w:val="0"/>
        <w:adjustRightInd w:val="0"/>
        <w:snapToGrid w:val="0"/>
        <w:spacing w:line="276" w:lineRule="auto"/>
        <w:ind w:firstLine="420" w:firstLineChars="200"/>
        <w:rPr>
          <w:rFonts w:hint="eastAsia" w:ascii="宋体"/>
          <w:szCs w:val="21"/>
        </w:rPr>
      </w:pPr>
      <w:r>
        <w:rPr>
          <w:rFonts w:hint="eastAsia" w:ascii="宋体"/>
          <w:szCs w:val="21"/>
        </w:rPr>
        <w:t>（三）投资者购买理财产品失败，或理财产品到期/提前终止、投资者赎回并完成清算分配后，本协议自动终止。</w:t>
      </w:r>
    </w:p>
    <w:p w14:paraId="444760B5">
      <w:pPr>
        <w:autoSpaceDE w:val="0"/>
        <w:autoSpaceDN w:val="0"/>
        <w:adjustRightInd w:val="0"/>
        <w:snapToGrid w:val="0"/>
        <w:spacing w:line="276" w:lineRule="auto"/>
        <w:ind w:firstLine="420" w:firstLineChars="200"/>
        <w:rPr>
          <w:rFonts w:ascii="宋体"/>
          <w:szCs w:val="21"/>
        </w:rPr>
      </w:pPr>
      <w:r>
        <w:rPr>
          <w:rFonts w:hint="eastAsia" w:ascii="宋体"/>
          <w:szCs w:val="21"/>
        </w:rPr>
        <w:t>（四）甲方通过销售（代理销售）机构提交的有效理财产品认购/申购/赎回/撤单等申请，并不意味着理财产品认购/申购/赎回/撤单等申请一定成功，具体认购/申购/赎回/撤单等申请的受理结果以乙方的确认为准。</w:t>
      </w:r>
    </w:p>
    <w:p w14:paraId="137F3318">
      <w:pPr>
        <w:autoSpaceDE w:val="0"/>
        <w:autoSpaceDN w:val="0"/>
        <w:adjustRightInd w:val="0"/>
        <w:snapToGrid w:val="0"/>
        <w:spacing w:line="276" w:lineRule="auto"/>
        <w:ind w:firstLine="422" w:firstLineChars="200"/>
        <w:rPr>
          <w:rFonts w:hint="eastAsia" w:ascii="宋体"/>
          <w:szCs w:val="21"/>
        </w:rPr>
      </w:pPr>
      <w:r>
        <w:rPr>
          <w:rFonts w:hint="eastAsia" w:ascii="宋体"/>
          <w:b/>
          <w:bCs/>
          <w:szCs w:val="21"/>
        </w:rPr>
        <w:t>（五）本协议及《理财产品说明书》项下各方权利义务履行完毕之日，本协议自动终止。</w:t>
      </w:r>
    </w:p>
    <w:p w14:paraId="5CDB2BA8">
      <w:pPr>
        <w:spacing w:line="276" w:lineRule="auto"/>
        <w:ind w:firstLine="420" w:firstLineChars="200"/>
        <w:rPr>
          <w:rFonts w:hint="eastAsia" w:ascii="宋体"/>
          <w:szCs w:val="21"/>
        </w:rPr>
      </w:pPr>
      <w:r>
        <w:rPr>
          <w:rFonts w:hint="eastAsia" w:ascii="宋体" w:hAnsi="宋体"/>
          <w:szCs w:val="21"/>
        </w:rPr>
        <w:t>（六）本协议一式贰份，甲乙双方各执壹份，具有同等法律效力。</w:t>
      </w:r>
      <w:bookmarkStart w:id="34" w:name="_Hlk155300765"/>
      <w:r>
        <w:rPr>
          <w:rFonts w:hint="eastAsia" w:ascii="宋体" w:hAnsi="宋体"/>
          <w:szCs w:val="21"/>
        </w:rPr>
        <w:t>如双方对协议份数另有要求的，经双方协商一致并签署生效后亦具有同等法律效力</w:t>
      </w:r>
      <w:bookmarkEnd w:id="34"/>
      <w:r>
        <w:rPr>
          <w:rFonts w:hint="eastAsia" w:ascii="宋体" w:hAnsi="宋体"/>
          <w:szCs w:val="21"/>
        </w:rPr>
        <w:t>。</w:t>
      </w:r>
    </w:p>
    <w:p w14:paraId="5908A2F0">
      <w:pPr>
        <w:spacing w:line="276" w:lineRule="auto"/>
        <w:ind w:right="840" w:firstLine="422" w:firstLineChars="200"/>
        <w:rPr>
          <w:rFonts w:hint="eastAsia" w:ascii="宋体"/>
          <w:b/>
          <w:bCs/>
          <w:szCs w:val="21"/>
        </w:rPr>
      </w:pPr>
      <w:r>
        <w:rPr>
          <w:rFonts w:hint="eastAsia" w:ascii="宋体"/>
          <w:b/>
          <w:bCs/>
          <w:szCs w:val="21"/>
        </w:rPr>
        <w:t>八、法律适用与争议解决</w:t>
      </w:r>
    </w:p>
    <w:p w14:paraId="6081B139">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（一）如果甲方与乙方就本产品存在多份协议，则每份协议之间相互独立、互不影响，每份协议的效力及履行情况均独立于其他协议。</w:t>
      </w:r>
    </w:p>
    <w:p w14:paraId="17E7796A">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（二）如果由于任何原因使本协议下的部分条款无效，本协议其他条款效力不受影响。</w:t>
      </w:r>
    </w:p>
    <w:p w14:paraId="00AF075A">
      <w:pPr>
        <w:autoSpaceDE w:val="0"/>
        <w:autoSpaceDN w:val="0"/>
        <w:adjustRightInd w:val="0"/>
        <w:snapToGrid w:val="0"/>
        <w:spacing w:line="276" w:lineRule="auto"/>
        <w:ind w:firstLine="422" w:firstLineChars="200"/>
        <w:rPr>
          <w:rFonts w:ascii="宋体" w:hAnsi="宋体"/>
          <w:szCs w:val="21"/>
        </w:rPr>
      </w:pPr>
      <w:r>
        <w:rPr>
          <w:rFonts w:hint="eastAsia" w:ascii="宋体" w:hAnsi="宋体"/>
          <w:b/>
          <w:bCs/>
          <w:szCs w:val="21"/>
        </w:rPr>
        <w:t>（三）本协议适用中华人民共和国大陆地区法律。本协议项下及与之有关的一切争议，双方应先协商解决，协商不成的，应向乙方住所地有管辖权的人民法院提起诉讼</w:t>
      </w:r>
      <w:r>
        <w:rPr>
          <w:rFonts w:hint="eastAsia" w:ascii="宋体" w:hAnsi="宋体"/>
          <w:szCs w:val="21"/>
        </w:rPr>
        <w:t>。</w:t>
      </w:r>
    </w:p>
    <w:p w14:paraId="60CBA7A5">
      <w:pPr>
        <w:autoSpaceDE w:val="0"/>
        <w:autoSpaceDN w:val="0"/>
        <w:adjustRightInd w:val="0"/>
        <w:snapToGrid w:val="0"/>
        <w:spacing w:line="276" w:lineRule="auto"/>
        <w:ind w:firstLine="420" w:firstLineChars="200"/>
        <w:rPr>
          <w:rFonts w:ascii="宋体" w:hAnsi="宋体"/>
          <w:szCs w:val="21"/>
        </w:rPr>
      </w:pPr>
    </w:p>
    <w:p w14:paraId="7A689286">
      <w:pPr>
        <w:autoSpaceDE w:val="0"/>
        <w:autoSpaceDN w:val="0"/>
        <w:adjustRightInd w:val="0"/>
        <w:snapToGrid w:val="0"/>
        <w:spacing w:line="276" w:lineRule="auto"/>
        <w:ind w:firstLine="420" w:firstLineChars="200"/>
        <w:rPr>
          <w:rFonts w:hint="eastAsia" w:ascii="宋体" w:hAnsi="宋体"/>
          <w:szCs w:val="21"/>
        </w:rPr>
      </w:pPr>
    </w:p>
    <w:p w14:paraId="481BEEFF">
      <w:pPr>
        <w:spacing w:line="276" w:lineRule="auto"/>
        <w:ind w:left="7440" w:hanging="7440"/>
        <w:rPr>
          <w:rFonts w:ascii="宋体" w:cs="Arial"/>
          <w:sz w:val="24"/>
        </w:rPr>
      </w:pPr>
      <w:r>
        <w:rPr>
          <w:rFonts w:hint="eastAsia" w:ascii="Times New Roman" w:hAnsi="Times New Roman" w:cs="Arial"/>
          <w:szCs w:val="21"/>
        </w:rPr>
        <w:t xml:space="preserve">个人投资者签字： </w:t>
      </w:r>
      <w:r>
        <w:rPr>
          <w:rFonts w:ascii="Times New Roman" w:hAnsi="Times New Roman" w:cs="Arial"/>
          <w:szCs w:val="21"/>
        </w:rPr>
        <w:t xml:space="preserve">                              </w:t>
      </w:r>
      <w:r>
        <w:rPr>
          <w:rFonts w:hint="eastAsia" w:ascii="宋体" w:hAnsi="宋体"/>
          <w:szCs w:val="21"/>
        </w:rPr>
        <w:t>乙方：渝农商理财有限责任公司</w:t>
      </w:r>
    </w:p>
    <w:p w14:paraId="14BEF2EC">
      <w:pPr>
        <w:spacing w:line="276" w:lineRule="auto"/>
        <w:rPr>
          <w:rFonts w:ascii="Times New Roman" w:hAnsi="Times New Roman" w:cs="Arial"/>
          <w:szCs w:val="21"/>
        </w:rPr>
      </w:pPr>
    </w:p>
    <w:p w14:paraId="2E6E48FE">
      <w:pPr>
        <w:spacing w:line="276" w:lineRule="auto"/>
        <w:rPr>
          <w:rFonts w:hint="eastAsia" w:ascii="Times New Roman" w:hAnsi="Times New Roman" w:cs="Arial"/>
          <w:szCs w:val="21"/>
        </w:rPr>
      </w:pPr>
      <w:r>
        <w:rPr>
          <w:rFonts w:hint="eastAsia" w:ascii="Times New Roman" w:hAnsi="Times New Roman" w:cs="Arial"/>
          <w:szCs w:val="21"/>
        </w:rPr>
        <w:t xml:space="preserve">机构投资者（盖章）： </w:t>
      </w:r>
      <w:r>
        <w:rPr>
          <w:rFonts w:ascii="Times New Roman" w:hAnsi="Times New Roman" w:cs="Arial"/>
          <w:szCs w:val="21"/>
        </w:rPr>
        <w:t xml:space="preserve">                          </w:t>
      </w:r>
    </w:p>
    <w:p w14:paraId="2002CAA2">
      <w:pPr>
        <w:spacing w:line="276" w:lineRule="auto"/>
        <w:rPr>
          <w:rFonts w:ascii="Times New Roman" w:hAnsi="Times New Roman" w:cs="Arial"/>
          <w:szCs w:val="21"/>
        </w:rPr>
      </w:pPr>
    </w:p>
    <w:p w14:paraId="322FEAD7">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37778F98">
      <w:pPr>
        <w:spacing w:line="276" w:lineRule="auto"/>
        <w:rPr>
          <w:rFonts w:ascii="Times New Roman" w:hAnsi="Times New Roman" w:cs="Arial"/>
          <w:szCs w:val="21"/>
        </w:rPr>
      </w:pPr>
    </w:p>
    <w:p w14:paraId="358AB94C">
      <w:pPr>
        <w:adjustRightInd w:val="0"/>
        <w:snapToGrid w:val="0"/>
        <w:spacing w:line="276" w:lineRule="auto"/>
      </w:pP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66395CD6">
      <w:pPr>
        <w:rPr>
          <w:rFonts w:hint="eastAsia" w:ascii="宋体" w:hAnsi="宋体" w:cs="FZSSK--GBK1-0"/>
          <w:b/>
          <w:kern w:val="0"/>
          <w:sz w:val="24"/>
          <w:szCs w:val="24"/>
          <w:highlight w:val="none"/>
        </w:rPr>
        <w:sectPr>
          <w:headerReference r:id="rId5" w:type="default"/>
          <w:pgSz w:w="11906" w:h="16838"/>
          <w:pgMar w:top="1440" w:right="1800" w:bottom="1440" w:left="1800" w:header="851" w:footer="992" w:gutter="0"/>
          <w:cols w:space="425" w:num="1"/>
          <w:docGrid w:type="lines" w:linePitch="312" w:charSpace="0"/>
        </w:sectPr>
      </w:pPr>
      <w:r>
        <w:rPr>
          <w:rFonts w:hint="eastAsia" w:ascii="宋体" w:hAnsi="宋体" w:cs="FZSSK--GBK1-0"/>
          <w:b/>
          <w:kern w:val="0"/>
          <w:sz w:val="24"/>
          <w:szCs w:val="24"/>
          <w:highlight w:val="none"/>
        </w:rPr>
        <w:br w:type="page"/>
      </w:r>
    </w:p>
    <w:p w14:paraId="5EAE8D9B">
      <w:pPr>
        <w:rPr>
          <w:rFonts w:hint="eastAsia" w:ascii="宋体" w:hAnsi="宋体" w:cs="FZSSK--GBK1-0"/>
          <w:b/>
          <w:kern w:val="0"/>
          <w:sz w:val="24"/>
          <w:szCs w:val="24"/>
          <w:highlight w:val="none"/>
        </w:rPr>
      </w:pPr>
    </w:p>
    <w:p w14:paraId="63A656C5">
      <w:pPr>
        <w:pStyle w:val="36"/>
        <w:spacing w:line="360" w:lineRule="auto"/>
        <w:ind w:firstLine="0" w:firstLineChars="0"/>
        <w:jc w:val="center"/>
        <w:rPr>
          <w:rFonts w:hint="eastAsia" w:ascii="宋体" w:hAnsi="宋体" w:cs="FZSSK--GBK1-0"/>
          <w:b/>
          <w:kern w:val="0"/>
          <w:sz w:val="24"/>
          <w:szCs w:val="24"/>
          <w:highlight w:val="none"/>
        </w:rPr>
      </w:pPr>
      <w:r>
        <w:rPr>
          <w:rFonts w:hint="eastAsia" w:ascii="宋体" w:hAnsi="宋体" w:cs="FZSSK--GBK1-0"/>
          <w:b/>
          <w:kern w:val="0"/>
          <w:sz w:val="24"/>
          <w:szCs w:val="24"/>
          <w:highlight w:val="none"/>
        </w:rPr>
        <w:t>浙江泰隆商业银行代销理财产品协议书</w:t>
      </w:r>
    </w:p>
    <w:p w14:paraId="3E46CD1F">
      <w:pPr>
        <w:pStyle w:val="36"/>
        <w:spacing w:line="360" w:lineRule="auto"/>
        <w:ind w:firstLine="0" w:firstLineChars="0"/>
        <w:jc w:val="center"/>
        <w:rPr>
          <w:rFonts w:ascii="宋体" w:hAnsi="宋体" w:cs="FZSSK--GBK1-0"/>
          <w:b/>
          <w:kern w:val="0"/>
          <w:sz w:val="24"/>
          <w:szCs w:val="24"/>
          <w:highlight w:val="none"/>
        </w:rPr>
      </w:pPr>
    </w:p>
    <w:p w14:paraId="763E02AB">
      <w:pPr>
        <w:ind w:firstLine="442" w:firstLineChars="200"/>
        <w:rPr>
          <w:rFonts w:hint="eastAsia" w:ascii="宋体" w:hAnsi="宋体" w:cs="FZSSK--GBK1-0"/>
          <w:b/>
          <w:kern w:val="0"/>
          <w:sz w:val="22"/>
          <w:highlight w:val="none"/>
        </w:rPr>
      </w:pPr>
      <w:r>
        <w:rPr>
          <w:rFonts w:hint="eastAsia" w:ascii="宋体" w:hAnsi="宋体" w:cs="FZSSK--GBK1-0"/>
          <w:b/>
          <w:kern w:val="0"/>
          <w:sz w:val="22"/>
          <w:highlight w:val="none"/>
        </w:rPr>
        <w:t>浙江泰隆商业银行代销理财产品协议书（以下简称“本协议”）是浙江泰隆商业银行股份有限公司（以下简称“本行”）与客户(以下简称“您”或“投资者”)就理财产品销售所订立的有效合约。投资者通过电子渠道或柜面渠道选择接受本协议，即表示投资者与本行已达成协议并同意接受本协议的全部约定内容以及与本协议有关的各项规则及本行网站所包含的其他与本协议或本协议项下各项规则的条款和条件有关的各项规定。</w:t>
      </w:r>
    </w:p>
    <w:p w14:paraId="0A7DDDC9">
      <w:pPr>
        <w:pStyle w:val="36"/>
        <w:spacing w:line="360" w:lineRule="auto"/>
        <w:ind w:firstLine="0" w:firstLineChars="0"/>
        <w:jc w:val="left"/>
        <w:rPr>
          <w:rFonts w:hint="eastAsia" w:ascii="宋体" w:hAnsi="宋体" w:cs="FZSSK--GBK1-0"/>
          <w:bCs/>
          <w:kern w:val="0"/>
          <w:sz w:val="22"/>
          <w:highlight w:val="none"/>
        </w:rPr>
      </w:pPr>
      <w:r>
        <w:rPr>
          <w:rFonts w:hint="eastAsia" w:ascii="宋体" w:hAnsi="宋体" w:cs="FZSSK--GBK1-0"/>
          <w:b/>
          <w:kern w:val="0"/>
          <w:sz w:val="22"/>
          <w:highlight w:val="none"/>
        </w:rPr>
        <w:t xml:space="preserve">    第一条  浙江泰隆商业银行代销理财产品是指本行代理销售的由理财公司发行的理财计划。浙江泰隆商业银行作为代销机构不承担产品的投资、兑付和风险管理责任。</w:t>
      </w:r>
    </w:p>
    <w:p w14:paraId="032299DA">
      <w:pPr>
        <w:pStyle w:val="36"/>
        <w:spacing w:line="360" w:lineRule="auto"/>
        <w:ind w:firstLine="0" w:firstLineChars="0"/>
        <w:jc w:val="left"/>
        <w:rPr>
          <w:rFonts w:hint="eastAsia" w:ascii="宋体" w:hAnsi="宋体" w:cs="FZSSK--GBK1-0"/>
          <w:b/>
          <w:kern w:val="0"/>
          <w:sz w:val="22"/>
          <w:highlight w:val="none"/>
        </w:rPr>
      </w:pPr>
      <w:r>
        <w:rPr>
          <w:rFonts w:hint="eastAsia" w:ascii="宋体" w:hAnsi="宋体" w:cs="FZSSK--GBK1-0"/>
          <w:b/>
          <w:kern w:val="0"/>
          <w:sz w:val="22"/>
          <w:highlight w:val="none"/>
        </w:rPr>
        <w:t xml:space="preserve">    第二条  </w:t>
      </w:r>
      <w:r>
        <w:rPr>
          <w:rFonts w:hint="eastAsia" w:ascii="宋体" w:hAnsi="宋体" w:cs="FZSSK--GBK1-0"/>
          <w:bCs/>
          <w:kern w:val="0"/>
          <w:sz w:val="22"/>
          <w:highlight w:val="none"/>
        </w:rPr>
        <w:t>本行开展代销理财业务，将按投资者适当性原则进行。本行有权根据代销理财产品合同所载明的投资范围、投资资产、投资比例和风险状况等因素按照浙江泰隆商业银行产品风险评级的规则对理财产品进行风险评级。</w:t>
      </w:r>
      <w:r>
        <w:rPr>
          <w:rFonts w:hint="eastAsia" w:ascii="宋体" w:hAnsi="宋体" w:cs="FZSSK--GBK1-0"/>
          <w:b/>
          <w:kern w:val="0"/>
          <w:sz w:val="22"/>
          <w:highlight w:val="none"/>
        </w:rPr>
        <w:t>风险评级结果与理财产品发行管理机构评级不一致的，将采用较高风险等级的评级结果。同时，本行将按照客户风险承受能力评级的规则对客户进行风险承受能力评估，确定客户的风险承受能力评级，并向客户销售等于或低于其风险承受能力的代销理财产品。</w:t>
      </w:r>
    </w:p>
    <w:p w14:paraId="7FCB5D93">
      <w:pPr>
        <w:pStyle w:val="36"/>
        <w:spacing w:line="360" w:lineRule="auto"/>
        <w:ind w:firstLine="0" w:firstLineChars="0"/>
        <w:jc w:val="left"/>
        <w:rPr>
          <w:rFonts w:hint="eastAsia" w:ascii="宋体" w:hAnsi="宋体" w:cs="FZSSK--GBK1-0"/>
          <w:b/>
          <w:kern w:val="0"/>
          <w:sz w:val="22"/>
          <w:highlight w:val="none"/>
        </w:rPr>
      </w:pPr>
      <w:r>
        <w:rPr>
          <w:rFonts w:hint="eastAsia" w:ascii="宋体" w:hAnsi="宋体" w:cs="FZSSK--GBK1-0"/>
          <w:b/>
          <w:kern w:val="0"/>
          <w:sz w:val="22"/>
          <w:highlight w:val="none"/>
        </w:rPr>
        <w:t xml:space="preserve">    第三条  </w:t>
      </w:r>
      <w:r>
        <w:rPr>
          <w:rFonts w:hint="eastAsia" w:ascii="宋体" w:hAnsi="宋体" w:cs="FZSSK--GBK1-0"/>
          <w:bCs/>
          <w:kern w:val="0"/>
          <w:sz w:val="22"/>
          <w:highlight w:val="none"/>
        </w:rPr>
        <w:t>客户确认本人具有完全民事行为能力、自愿遵守本条款。客户承诺认购/申购浙江泰隆商业银行代销理财产品是本人真实意思表示，向浙江泰隆商业银行提供的个人信息及相关资料真实、合法、完整、有效，认购/申购浙江泰隆商业银行代销理财产品的资金系本人合法持有的资金。</w:t>
      </w:r>
    </w:p>
    <w:p w14:paraId="2BA2F159">
      <w:pPr>
        <w:pStyle w:val="36"/>
        <w:spacing w:line="360" w:lineRule="auto"/>
        <w:ind w:firstLine="481" w:firstLineChars="0"/>
        <w:jc w:val="left"/>
        <w:rPr>
          <w:rFonts w:hint="eastAsia" w:ascii="宋体" w:hAnsi="宋体" w:cs="FZSSK--GBK1-0"/>
          <w:bCs/>
          <w:kern w:val="0"/>
          <w:sz w:val="22"/>
          <w:highlight w:val="none"/>
        </w:rPr>
      </w:pPr>
      <w:r>
        <w:rPr>
          <w:rFonts w:hint="eastAsia" w:ascii="宋体" w:hAnsi="宋体" w:cs="FZSSK--GBK1-0"/>
          <w:b/>
          <w:kern w:val="0"/>
          <w:sz w:val="22"/>
          <w:highlight w:val="none"/>
        </w:rPr>
        <w:t xml:space="preserve">第四条  </w:t>
      </w:r>
      <w:r>
        <w:rPr>
          <w:rFonts w:hint="eastAsia" w:ascii="宋体" w:hAnsi="宋体" w:cs="FZSSK--GBK1-0"/>
          <w:bCs/>
          <w:kern w:val="0"/>
          <w:sz w:val="22"/>
          <w:highlight w:val="none"/>
        </w:rPr>
        <w:t>客户认购/申购本行代销理财产品的，需持在我行开立的活期存款账户（借记卡或活期存折等）作为交易账户，用于扣划理财产品认购/申购资金和理财兑付/赎回资金入账。若因客户账户销户或因司法机关冻结、扣划等非本行原因导致理财兑付/赎回资金无法按时到账的，本行不承担任何责任。</w:t>
      </w:r>
    </w:p>
    <w:p w14:paraId="4FCD196B">
      <w:pPr>
        <w:pStyle w:val="36"/>
        <w:spacing w:line="360" w:lineRule="auto"/>
        <w:ind w:firstLine="442"/>
        <w:rPr>
          <w:rFonts w:hint="eastAsia" w:ascii="宋体" w:hAnsi="宋体" w:cs="FZSSK--GBK1-0"/>
          <w:bCs/>
          <w:kern w:val="0"/>
          <w:sz w:val="22"/>
          <w:highlight w:val="none"/>
        </w:rPr>
      </w:pPr>
      <w:r>
        <w:rPr>
          <w:rFonts w:hint="eastAsia" w:ascii="宋体" w:hAnsi="宋体" w:cs="FZSSK--GBK1-0"/>
          <w:b/>
          <w:kern w:val="0"/>
          <w:sz w:val="22"/>
          <w:highlight w:val="none"/>
        </w:rPr>
        <w:t>第五条  本行作为理财产品的代销机构，由于受限于产品发行管理机构的销售额度分配情况，客户通过本行认购/申购该理财产品，可能存在未受理或者获得受理但最终未被确认成功的情况，客户在购买产品前应确保知悉上述可能出现的情形。</w:t>
      </w:r>
    </w:p>
    <w:p w14:paraId="2B6BE36A">
      <w:pPr>
        <w:pStyle w:val="36"/>
        <w:spacing w:line="360" w:lineRule="auto"/>
        <w:ind w:firstLine="442"/>
        <w:rPr>
          <w:rFonts w:hint="eastAsia" w:ascii="宋体" w:hAnsi="宋体" w:cs="FZSSK--GBK1-0"/>
          <w:bCs/>
          <w:kern w:val="0"/>
          <w:sz w:val="22"/>
          <w:highlight w:val="none"/>
        </w:rPr>
      </w:pPr>
      <w:r>
        <w:rPr>
          <w:rFonts w:hint="eastAsia" w:ascii="宋体" w:hAnsi="宋体" w:cs="FZSSK--GBK1-0"/>
          <w:b/>
          <w:kern w:val="0"/>
          <w:sz w:val="22"/>
          <w:highlight w:val="none"/>
        </w:rPr>
        <w:t xml:space="preserve">第六条  </w:t>
      </w:r>
      <w:r>
        <w:rPr>
          <w:rFonts w:hint="eastAsia" w:ascii="宋体" w:hAnsi="宋体" w:cs="FZSSK--GBK1-0"/>
          <w:bCs/>
          <w:kern w:val="0"/>
          <w:sz w:val="22"/>
          <w:highlight w:val="none"/>
        </w:rPr>
        <w:t>在产品销售过程中，本行受限于营业网点、电子银行等渠道提供认购/申购、赎回等业务服务的业务受理时间，可能出现客户无法在发行管理机构产品说明书上所载认购/申购、赎回等业务受理时间内办理业务的情况，客户在购买该理财产品前应当确保知悉上述可能出现的情形。</w:t>
      </w:r>
    </w:p>
    <w:p w14:paraId="409B183F">
      <w:pPr>
        <w:pStyle w:val="36"/>
        <w:spacing w:line="360" w:lineRule="auto"/>
        <w:ind w:firstLine="0" w:firstLineChars="0"/>
        <w:jc w:val="left"/>
        <w:rPr>
          <w:rFonts w:hint="eastAsia" w:ascii="宋体" w:hAnsi="宋体" w:cs="FZSSK--GBK1-0"/>
          <w:bCs/>
          <w:kern w:val="0"/>
          <w:sz w:val="22"/>
          <w:highlight w:val="none"/>
        </w:rPr>
      </w:pPr>
      <w:r>
        <w:rPr>
          <w:rFonts w:hint="eastAsia" w:ascii="宋体" w:hAnsi="宋体" w:cs="FZSSK--GBK1-0"/>
          <w:b/>
          <w:kern w:val="0"/>
          <w:sz w:val="22"/>
          <w:highlight w:val="none"/>
        </w:rPr>
        <w:t xml:space="preserve">    第七条  </w:t>
      </w:r>
      <w:r>
        <w:rPr>
          <w:rFonts w:hint="eastAsia" w:ascii="宋体" w:hAnsi="宋体" w:cs="FZSSK--GBK1-0"/>
          <w:bCs/>
          <w:kern w:val="0"/>
          <w:sz w:val="22"/>
          <w:highlight w:val="none"/>
        </w:rPr>
        <w:t>理财产品存续期间，客户可携带本人有效身份证原件、原理财交易卡（借记卡或活期存折等）至本行各营业网点办理理财资金账户变更/登记，变更/登记自相关手续办理完毕之日起生效。若因司法机关冻结、扣划等非本行原因导致理财资金账户无法变更/登记的，本行不承担任何责任。</w:t>
      </w:r>
    </w:p>
    <w:p w14:paraId="4BCA79F7">
      <w:pPr>
        <w:pStyle w:val="36"/>
        <w:spacing w:line="360" w:lineRule="auto"/>
        <w:ind w:firstLine="442"/>
        <w:jc w:val="left"/>
        <w:rPr>
          <w:rFonts w:hint="eastAsia" w:ascii="宋体" w:hAnsi="宋体" w:cs="FZSSK--GBK1-0"/>
          <w:bCs/>
          <w:kern w:val="0"/>
          <w:sz w:val="22"/>
          <w:highlight w:val="none"/>
        </w:rPr>
      </w:pPr>
      <w:r>
        <w:rPr>
          <w:rFonts w:hint="eastAsia" w:ascii="宋体" w:hAnsi="宋体" w:cs="FZSSK--GBK1-0"/>
          <w:b/>
          <w:kern w:val="0"/>
          <w:sz w:val="22"/>
          <w:highlight w:val="none"/>
        </w:rPr>
        <w:t xml:space="preserve">第八条  </w:t>
      </w:r>
      <w:r>
        <w:rPr>
          <w:rFonts w:hint="eastAsia" w:ascii="宋体" w:hAnsi="宋体" w:cs="FZSSK--GBK1-0"/>
          <w:bCs/>
          <w:kern w:val="0"/>
          <w:sz w:val="22"/>
          <w:highlight w:val="none"/>
        </w:rPr>
        <w:t>理财产品存续期间，客户有义务保管好个人信息、账户信息、短信验证码、密码等，凡需客户输入短信验证码、密码等办理的业务，均视为客户本人办理，由此所造成的损失均由客户自行承担,本行</w:t>
      </w:r>
      <w:r>
        <w:rPr>
          <w:rStyle w:val="18"/>
          <w:rFonts w:hint="eastAsia" w:ascii="宋体" w:hAnsi="宋体" w:cs="FZSSK--GBK1-0"/>
          <w:bCs/>
          <w:i w:val="0"/>
          <w:kern w:val="0"/>
          <w:sz w:val="22"/>
          <w:highlight w:val="none"/>
        </w:rPr>
        <w:t>存在过错、与</w:t>
      </w:r>
      <w:r>
        <w:rPr>
          <w:rFonts w:hint="eastAsia" w:ascii="宋体" w:hAnsi="宋体" w:cs="FZSSK--GBK1-0"/>
          <w:bCs/>
          <w:kern w:val="0"/>
          <w:sz w:val="22"/>
          <w:highlight w:val="none"/>
        </w:rPr>
        <w:t>客户</w:t>
      </w:r>
      <w:r>
        <w:rPr>
          <w:rStyle w:val="18"/>
          <w:rFonts w:hint="eastAsia" w:ascii="宋体" w:hAnsi="宋体" w:cs="FZSSK--GBK1-0"/>
          <w:bCs/>
          <w:i w:val="0"/>
          <w:kern w:val="0"/>
          <w:sz w:val="22"/>
          <w:highlight w:val="none"/>
        </w:rPr>
        <w:t>另有约定或法律法规另有规定的除外。</w:t>
      </w:r>
    </w:p>
    <w:p w14:paraId="1220D9E8">
      <w:pPr>
        <w:pStyle w:val="36"/>
        <w:spacing w:line="360" w:lineRule="auto"/>
        <w:ind w:firstLine="442"/>
        <w:jc w:val="left"/>
        <w:rPr>
          <w:rFonts w:hint="eastAsia" w:ascii="宋体" w:hAnsi="宋体" w:cs="FZSSK--GBK1-0"/>
          <w:b/>
          <w:kern w:val="0"/>
          <w:sz w:val="22"/>
          <w:highlight w:val="none"/>
        </w:rPr>
      </w:pPr>
      <w:r>
        <w:rPr>
          <w:rFonts w:hint="eastAsia" w:ascii="宋体" w:hAnsi="宋体" w:cs="FZSSK--GBK1-0"/>
          <w:b/>
          <w:kern w:val="0"/>
          <w:sz w:val="22"/>
          <w:highlight w:val="none"/>
        </w:rPr>
        <w:t xml:space="preserve">第九条  </w:t>
      </w:r>
      <w:r>
        <w:rPr>
          <w:rFonts w:hint="eastAsia" w:ascii="宋体" w:hAnsi="宋体" w:cs="FZSSK--GBK1-0"/>
          <w:bCs/>
          <w:kern w:val="0"/>
          <w:sz w:val="22"/>
          <w:highlight w:val="none"/>
        </w:rPr>
        <w:t>理财产品约定客户可以赎回的，客户可携带本人有效身份证原件、原理财交易卡（借记卡或活期存折等）至本行各营业网点办理，或通过电子银行渠道办理。</w:t>
      </w:r>
    </w:p>
    <w:p w14:paraId="698BA58B">
      <w:pPr>
        <w:pStyle w:val="36"/>
        <w:spacing w:line="360" w:lineRule="auto"/>
        <w:ind w:firstLine="442"/>
        <w:jc w:val="left"/>
        <w:rPr>
          <w:rFonts w:hint="eastAsia" w:ascii="宋体" w:hAnsi="宋体" w:cs="FZSSK--GBK1-0"/>
          <w:bCs/>
          <w:kern w:val="0"/>
          <w:sz w:val="22"/>
          <w:highlight w:val="none"/>
        </w:rPr>
      </w:pPr>
      <w:r>
        <w:rPr>
          <w:rFonts w:hint="eastAsia" w:ascii="宋体" w:hAnsi="宋体" w:cs="FZSSK--GBK1-0"/>
          <w:b/>
          <w:kern w:val="0"/>
          <w:sz w:val="22"/>
          <w:highlight w:val="none"/>
        </w:rPr>
        <w:t>第十条</w:t>
      </w:r>
      <w:r>
        <w:rPr>
          <w:rFonts w:hint="eastAsia" w:ascii="宋体" w:hAnsi="宋体" w:cs="FZSSK--GBK1-0"/>
          <w:bCs/>
          <w:kern w:val="0"/>
          <w:sz w:val="22"/>
          <w:highlight w:val="none"/>
        </w:rPr>
        <w:t xml:space="preserve">  理财产品赎回/到期兑付，代销理财产品发行机构将按照约定条件计算、公布并结清客户最终实际获得资金，本行将代为划转至客户理财资金账户。</w:t>
      </w:r>
    </w:p>
    <w:p w14:paraId="51E3FFCE">
      <w:pPr>
        <w:pStyle w:val="36"/>
        <w:spacing w:line="360" w:lineRule="auto"/>
        <w:ind w:firstLine="442"/>
        <w:jc w:val="left"/>
        <w:rPr>
          <w:rFonts w:hint="eastAsia" w:ascii="宋体" w:hAnsi="宋体" w:cs="FZSSK--GBK1-0"/>
          <w:bCs/>
          <w:kern w:val="0"/>
          <w:sz w:val="22"/>
          <w:highlight w:val="none"/>
        </w:rPr>
      </w:pPr>
      <w:r>
        <w:rPr>
          <w:rFonts w:hint="eastAsia" w:ascii="宋体" w:hAnsi="宋体" w:cs="FZSSK--GBK1-0"/>
          <w:b/>
          <w:kern w:val="0"/>
          <w:sz w:val="22"/>
          <w:highlight w:val="none"/>
        </w:rPr>
        <w:t xml:space="preserve">第十一条  </w:t>
      </w:r>
      <w:r>
        <w:rPr>
          <w:rFonts w:hint="eastAsia" w:ascii="宋体" w:hAnsi="宋体" w:cs="FZSSK--GBK1-0"/>
          <w:bCs/>
          <w:kern w:val="0"/>
          <w:sz w:val="22"/>
          <w:highlight w:val="none"/>
        </w:rPr>
        <w:t>代销产品业绩比较基准、成立以来年化或同类理财产品过往平均业绩仅供客户参考，并不作为理财产品发行机构向客户支付理财收益的承诺。理财产品存续期间利率可能变动而使客户丧失更加有利的投资机会。同时受国家宏观政策、国内外各项政治、经济因素以及各种突发事件、不可抗力等影响，可能使客户持有的理财产品的收益水平相对降低，客户应充分认识并自愿承担该等投资风险。</w:t>
      </w:r>
    </w:p>
    <w:p w14:paraId="1A24A480">
      <w:pPr>
        <w:pStyle w:val="36"/>
        <w:spacing w:line="360" w:lineRule="auto"/>
        <w:ind w:firstLine="0" w:firstLineChars="0"/>
        <w:jc w:val="left"/>
        <w:rPr>
          <w:rFonts w:hint="eastAsia" w:ascii="宋体" w:hAnsi="宋体" w:cs="FZSSK--GBK1-0"/>
          <w:bCs/>
          <w:kern w:val="0"/>
          <w:sz w:val="22"/>
          <w:highlight w:val="none"/>
        </w:rPr>
      </w:pPr>
      <w:r>
        <w:rPr>
          <w:rFonts w:hint="eastAsia" w:ascii="宋体" w:hAnsi="宋体" w:cs="FZSSK--GBK1-0"/>
          <w:b/>
          <w:kern w:val="0"/>
          <w:sz w:val="22"/>
          <w:highlight w:val="none"/>
        </w:rPr>
        <w:t xml:space="preserve">    第十二条  </w:t>
      </w:r>
      <w:r>
        <w:rPr>
          <w:rFonts w:hint="eastAsia" w:ascii="宋体" w:hAnsi="宋体" w:cs="FZSSK--GBK1-0"/>
          <w:bCs/>
          <w:kern w:val="0"/>
          <w:sz w:val="22"/>
          <w:highlight w:val="none"/>
        </w:rPr>
        <w:t>本行及产品发行管理机构有权根据国家有关法律、法规的规定，以及理财产品销售文件的约定向客户收取相应的费用，并在产品说明书中载明收费项目、收费条件、收费标准和收费方式。本行及产品发行管理机构根据业务发展和投资管理情况，可以对收费标准和收费方式等产品要素进行调整，但应在调整前通过理财产品销售文件约定的方式将有关情况及时向客户披露。</w:t>
      </w:r>
    </w:p>
    <w:p w14:paraId="7F34C2FA">
      <w:pPr>
        <w:pStyle w:val="36"/>
        <w:spacing w:line="360" w:lineRule="auto"/>
        <w:ind w:firstLine="0" w:firstLineChars="0"/>
        <w:jc w:val="left"/>
        <w:rPr>
          <w:rFonts w:hint="eastAsia" w:ascii="宋体" w:hAnsi="宋体" w:cs="FZSSK--GBK1-0"/>
          <w:bCs/>
          <w:kern w:val="0"/>
          <w:sz w:val="22"/>
          <w:highlight w:val="none"/>
        </w:rPr>
      </w:pPr>
      <w:r>
        <w:rPr>
          <w:rFonts w:hint="eastAsia" w:ascii="宋体" w:hAnsi="宋体" w:cs="FZSSK--GBK1-0"/>
          <w:b/>
          <w:kern w:val="0"/>
          <w:sz w:val="22"/>
          <w:highlight w:val="none"/>
        </w:rPr>
        <w:t xml:space="preserve">    第十三条  </w:t>
      </w:r>
      <w:r>
        <w:rPr>
          <w:rFonts w:hint="eastAsia" w:ascii="宋体" w:hAnsi="宋体" w:cs="FZSSK--GBK1-0"/>
          <w:bCs/>
          <w:kern w:val="0"/>
          <w:sz w:val="22"/>
          <w:highlight w:val="none"/>
        </w:rPr>
        <w:t>本行及产品发行管理机构根据业务发展，如认购/申购、撤单、信息变更等流程发生调整，以实际调整为准。</w:t>
      </w:r>
    </w:p>
    <w:p w14:paraId="286C0892">
      <w:pPr>
        <w:pStyle w:val="36"/>
        <w:spacing w:line="360" w:lineRule="auto"/>
        <w:ind w:firstLine="0" w:firstLineChars="0"/>
        <w:jc w:val="left"/>
        <w:rPr>
          <w:rFonts w:hint="eastAsia" w:ascii="宋体" w:hAnsi="宋体" w:cs="FZSSK--GBK1-0"/>
          <w:bCs/>
          <w:kern w:val="0"/>
          <w:sz w:val="22"/>
          <w:highlight w:val="none"/>
        </w:rPr>
      </w:pPr>
      <w:r>
        <w:rPr>
          <w:rFonts w:hint="eastAsia" w:ascii="宋体" w:hAnsi="宋体" w:cs="FZSSK--GBK1-0"/>
          <w:b/>
          <w:kern w:val="0"/>
          <w:sz w:val="22"/>
          <w:highlight w:val="none"/>
        </w:rPr>
        <w:t xml:space="preserve">    第十四条  </w:t>
      </w:r>
      <w:r>
        <w:rPr>
          <w:rFonts w:hint="eastAsia" w:ascii="宋体" w:hAnsi="宋体" w:cs="FZSSK--GBK1-0"/>
          <w:bCs/>
          <w:kern w:val="0"/>
          <w:sz w:val="22"/>
          <w:highlight w:val="none"/>
        </w:rPr>
        <w:t>产品说明书、风险揭示书、投资者权益须知、投资协议书是明确理财产品的投资范围、风险收益属性和风险等级的理财产品销售文件，客户投资收益的取得和分配以及享有的相关权利均以上述销售文件的约定为准。客户在签署上述销售文件前，应确保已知悉销售文件的全部内容，全面准确理解相关权利、义务和风险，自愿承担投资风险。</w:t>
      </w:r>
    </w:p>
    <w:p w14:paraId="1164287D">
      <w:pPr>
        <w:pStyle w:val="36"/>
        <w:spacing w:line="360" w:lineRule="auto"/>
        <w:ind w:firstLine="0" w:firstLineChars="0"/>
        <w:jc w:val="left"/>
        <w:rPr>
          <w:rFonts w:hint="eastAsia" w:ascii="宋体" w:hAnsi="宋体" w:cs="FZSSK--GBK1-0"/>
          <w:bCs/>
          <w:kern w:val="0"/>
          <w:sz w:val="22"/>
          <w:highlight w:val="none"/>
        </w:rPr>
      </w:pPr>
      <w:r>
        <w:rPr>
          <w:rFonts w:hint="eastAsia" w:ascii="宋体" w:hAnsi="宋体" w:cs="FZSSK--GBK1-0"/>
          <w:b/>
          <w:kern w:val="0"/>
          <w:sz w:val="22"/>
          <w:highlight w:val="none"/>
        </w:rPr>
        <w:t xml:space="preserve">    第十五条</w:t>
      </w:r>
      <w:r>
        <w:rPr>
          <w:rFonts w:hint="eastAsia" w:ascii="宋体" w:hAnsi="宋体" w:cs="FZSSK--GBK1-0"/>
          <w:bCs/>
          <w:kern w:val="0"/>
          <w:sz w:val="22"/>
          <w:highlight w:val="none"/>
        </w:rPr>
        <w:t xml:space="preserve">  </w:t>
      </w:r>
      <w:r>
        <w:rPr>
          <w:rFonts w:hint="eastAsia" w:ascii="宋体" w:hAnsi="宋体" w:cs="FZSSK--GBK1-0"/>
          <w:b/>
          <w:kern w:val="0"/>
          <w:sz w:val="22"/>
          <w:highlight w:val="none"/>
        </w:rPr>
        <w:t>通过客户身份认证要素(包括但不限于账号、电子银行登录名密码、数字证书、USBKev等)或其他交易安全措施在本行电子渠道所完成的一切操作均视为客户所为，上述操作所产生的业务指令均为本行处理业务的合法有效凭证，客户应对由此产生的后果负责。</w:t>
      </w:r>
      <w:r>
        <w:rPr>
          <w:rFonts w:hint="eastAsia" w:ascii="宋体" w:hAnsi="宋体" w:cs="FZSSK--GBK1-0"/>
          <w:bCs/>
          <w:kern w:val="0"/>
          <w:sz w:val="22"/>
          <w:highlight w:val="none"/>
        </w:rPr>
        <w:t>该等身份认证要素丢失、被盗或毁损的，除非客户已明确通知本行，否则一切后果由客户承担。凡因终端故障，系统故障等其它原因导致本行电子渠道不能正常使用时，客户应当立即通知本行。客户应妥善保管账号、密码等信息，不得将账户转借、转租他人使用。因客户将账户转借、转租他人使用或泄露资料所产生的风险及全部损失由客户自行承担。</w:t>
      </w:r>
    </w:p>
    <w:p w14:paraId="500912C5">
      <w:pPr>
        <w:pStyle w:val="36"/>
        <w:spacing w:line="360" w:lineRule="auto"/>
        <w:ind w:firstLine="442"/>
        <w:jc w:val="left"/>
        <w:rPr>
          <w:rFonts w:hint="eastAsia" w:ascii="宋体" w:hAnsi="宋体" w:cs="FZSSK--GBK1-0"/>
          <w:b/>
          <w:kern w:val="0"/>
          <w:sz w:val="22"/>
          <w:highlight w:val="none"/>
        </w:rPr>
      </w:pPr>
      <w:r>
        <w:rPr>
          <w:rFonts w:hint="eastAsia" w:ascii="宋体" w:hAnsi="宋体" w:cs="FZSSK--GBK1-0"/>
          <w:b/>
          <w:kern w:val="0"/>
          <w:sz w:val="22"/>
          <w:highlight w:val="none"/>
        </w:rPr>
        <w:t>第十六条  客户知悉并同意在向本行申请办理理财代销业务时，同意本行将投资者信息包括但不限于客户姓名、性别、证件种类、国籍和证件号码等信息共享给理财公司。</w:t>
      </w:r>
    </w:p>
    <w:p w14:paraId="0DA520AA">
      <w:pPr>
        <w:pStyle w:val="36"/>
        <w:spacing w:line="360" w:lineRule="auto"/>
        <w:ind w:firstLine="442"/>
        <w:rPr>
          <w:rFonts w:ascii="宋体" w:hAnsi="宋体" w:cs="宋体"/>
          <w:sz w:val="22"/>
          <w:szCs w:val="24"/>
          <w:highlight w:val="none"/>
        </w:rPr>
      </w:pPr>
      <w:r>
        <w:rPr>
          <w:rFonts w:hint="eastAsia" w:ascii="宋体" w:hAnsi="宋体" w:cs="FZSSK--GBK1-0"/>
          <w:b/>
          <w:kern w:val="0"/>
          <w:sz w:val="22"/>
          <w:highlight w:val="none"/>
        </w:rPr>
        <w:t xml:space="preserve">第十七条  </w:t>
      </w:r>
      <w:r>
        <w:rPr>
          <w:rFonts w:hint="eastAsia" w:ascii="宋体" w:hAnsi="宋体" w:cs="宋体"/>
          <w:sz w:val="22"/>
          <w:szCs w:val="24"/>
          <w:highlight w:val="none"/>
        </w:rPr>
        <w:t>本协议书以纸质书面形式订立的情况下，客户为个人投资者的，本协议自客户签名后成立并生效；客户为机构投资者的，本协议自客户法定代表人或授权代理人签名或盖章并加盖公章或合同专用章后成立并生效。</w:t>
      </w:r>
    </w:p>
    <w:p w14:paraId="26344EE1">
      <w:pPr>
        <w:pStyle w:val="36"/>
        <w:spacing w:line="360" w:lineRule="auto"/>
        <w:ind w:firstLine="440"/>
        <w:rPr>
          <w:rFonts w:ascii="宋体" w:hAnsi="宋体" w:cs="宋体"/>
          <w:sz w:val="22"/>
          <w:szCs w:val="24"/>
          <w:highlight w:val="none"/>
        </w:rPr>
      </w:pPr>
      <w:r>
        <w:rPr>
          <w:rFonts w:hint="eastAsia" w:ascii="宋体" w:hAnsi="宋体" w:cs="宋体"/>
          <w:sz w:val="22"/>
          <w:szCs w:val="24"/>
          <w:highlight w:val="none"/>
        </w:rPr>
        <w:t>本协议书以数据电文形式订立的，客户应在电子渠道仔细阅读本协议的所有条款，对本协议条款的含义及相应的法律后果应全部知晓并充分理解，本协议自客户同意接受本协议条款后成立并生效。</w:t>
      </w:r>
    </w:p>
    <w:p w14:paraId="509E6245">
      <w:pPr>
        <w:pStyle w:val="36"/>
        <w:spacing w:line="360" w:lineRule="auto"/>
        <w:ind w:firstLine="0" w:firstLineChars="0"/>
        <w:jc w:val="left"/>
        <w:rPr>
          <w:rFonts w:hint="eastAsia" w:ascii="宋体" w:hAnsi="宋体" w:cs="FZSSK--GBK1-0"/>
          <w:bCs/>
          <w:kern w:val="0"/>
          <w:sz w:val="22"/>
          <w:highlight w:val="none"/>
        </w:rPr>
      </w:pPr>
      <w:r>
        <w:rPr>
          <w:rFonts w:hint="eastAsia" w:ascii="宋体" w:hAnsi="宋体" w:cs="FZSSK--GBK1-0"/>
          <w:bCs/>
          <w:kern w:val="0"/>
          <w:sz w:val="22"/>
          <w:highlight w:val="none"/>
        </w:rPr>
        <w:t>本协议自生效之日起对客户及浙江泰隆商业银行均产生法律约束力。客户知悉并理解上述内容，明确且认可本协议的全部内容并同意承担相应责任。客户确认同意本电子文本，与在纸质文本手写签名或盖章具有同等法律效力。</w:t>
      </w:r>
    </w:p>
    <w:p w14:paraId="6D8128E8">
      <w:pPr>
        <w:pStyle w:val="36"/>
        <w:spacing w:line="360" w:lineRule="auto"/>
        <w:ind w:firstLine="442"/>
        <w:jc w:val="left"/>
        <w:rPr>
          <w:rFonts w:hint="eastAsia" w:ascii="宋体" w:hAnsi="宋体" w:cs="FZSSK--GBK1-0"/>
          <w:b/>
          <w:kern w:val="0"/>
          <w:sz w:val="22"/>
          <w:highlight w:val="none"/>
        </w:rPr>
      </w:pPr>
      <w:r>
        <w:rPr>
          <w:rFonts w:hint="eastAsia" w:ascii="宋体" w:hAnsi="宋体" w:cs="FZSSK--GBK1-0"/>
          <w:b/>
          <w:kern w:val="0"/>
          <w:sz w:val="22"/>
          <w:highlight w:val="none"/>
        </w:rPr>
        <w:t>声明:本人（本机构）已详细阅读并全面理解本协议及对应理财产品说明书、投资者权益须知、风险揭示书、投资协议书的全部条款，充分认识到投资本产品需要承担的风险，知晓本次购买的为浙江泰隆商业银行代销理财产品，清楚了解浙江泰隆商业银行作为代销机构将不承担该代销理财产品的投资、兑付和风险管理责任。</w:t>
      </w:r>
    </w:p>
    <w:p w14:paraId="35E62859">
      <w:pPr>
        <w:pStyle w:val="36"/>
        <w:spacing w:line="360" w:lineRule="auto"/>
        <w:ind w:firstLine="442"/>
        <w:jc w:val="left"/>
        <w:rPr>
          <w:rFonts w:hint="eastAsia" w:ascii="宋体" w:hAnsi="宋体" w:cs="FZSSK--GBK1-0"/>
          <w:b/>
          <w:kern w:val="0"/>
          <w:sz w:val="22"/>
          <w:highlight w:val="none"/>
        </w:rPr>
      </w:pPr>
      <w:r>
        <w:rPr>
          <w:rFonts w:hint="eastAsia" w:ascii="宋体" w:hAnsi="宋体" w:cs="FZSSK--GBK1-0"/>
          <w:b/>
          <w:kern w:val="0"/>
          <w:sz w:val="22"/>
          <w:highlight w:val="none"/>
        </w:rPr>
        <w:t>本人（本机构）对认购/申购金额予以确认，并同意授权浙江泰隆商业银行按本协议及对的理财产品说明书的约定进行划款。</w:t>
      </w:r>
    </w:p>
    <w:p w14:paraId="1B546B8B">
      <w:pPr>
        <w:pStyle w:val="36"/>
        <w:spacing w:line="360" w:lineRule="auto"/>
        <w:ind w:firstLine="442"/>
        <w:jc w:val="left"/>
        <w:rPr>
          <w:rFonts w:hint="eastAsia" w:ascii="宋体" w:hAnsi="宋体" w:cs="FZSSK--GBK1-0"/>
          <w:b/>
          <w:kern w:val="0"/>
          <w:sz w:val="22"/>
          <w:highlight w:val="none"/>
        </w:rPr>
      </w:pPr>
      <w:r>
        <w:rPr>
          <w:rFonts w:hint="eastAsia" w:ascii="宋体" w:hAnsi="宋体" w:cs="FZSSK--GBK1-0"/>
          <w:b/>
          <w:kern w:val="0"/>
          <w:sz w:val="22"/>
          <w:highlight w:val="none"/>
        </w:rPr>
        <w:t>本人（本机构）自愿办理代销理财产品的交易，保证所提供的资料真实、有效，且所有投资资金系本人（本机构）合法持有的资金，并自愿履行本协议的各项义务，自行承担投资风险，特此确认。</w:t>
      </w:r>
    </w:p>
    <w:p w14:paraId="61FA01B4">
      <w:pPr>
        <w:pStyle w:val="36"/>
        <w:spacing w:line="360" w:lineRule="auto"/>
        <w:ind w:firstLine="0" w:firstLineChars="0"/>
        <w:jc w:val="center"/>
        <w:rPr>
          <w:rFonts w:hint="eastAsia" w:ascii="宋体" w:hAnsi="宋体" w:cs="FZSSK--GBK1-0"/>
          <w:b/>
          <w:kern w:val="0"/>
          <w:sz w:val="22"/>
          <w:highlight w:val="none"/>
        </w:rPr>
      </w:pPr>
    </w:p>
    <w:p w14:paraId="2E68068B">
      <w:pPr>
        <w:spacing w:line="360" w:lineRule="auto"/>
        <w:rPr>
          <w:rStyle w:val="52"/>
          <w:rFonts w:hint="default"/>
          <w:sz w:val="22"/>
          <w:szCs w:val="24"/>
          <w:highlight w:val="none"/>
        </w:rPr>
      </w:pPr>
      <w:r>
        <w:rPr>
          <w:rStyle w:val="52"/>
          <w:rFonts w:hint="default"/>
          <w:sz w:val="22"/>
          <w:szCs w:val="24"/>
          <w:highlight w:val="none"/>
        </w:rPr>
        <w:t>个人投资者（如适用）：                   机构投资者（如适用）：</w:t>
      </w:r>
      <w:r>
        <w:rPr>
          <w:rFonts w:hint="eastAsia"/>
          <w:color w:val="000000"/>
          <w:sz w:val="22"/>
          <w:szCs w:val="24"/>
          <w:highlight w:val="none"/>
        </w:rPr>
        <w:br w:type="textWrapping"/>
      </w:r>
      <w:r>
        <w:rPr>
          <w:rStyle w:val="52"/>
          <w:rFonts w:hint="default"/>
          <w:sz w:val="22"/>
          <w:szCs w:val="24"/>
          <w:highlight w:val="none"/>
        </w:rPr>
        <w:t>个人投资者： （签名）              机构投资者： （</w:t>
      </w:r>
      <w:r>
        <w:rPr>
          <w:rFonts w:hint="eastAsia" w:ascii="宋体" w:hAnsi="宋体" w:cs="宋体"/>
          <w:sz w:val="22"/>
          <w:szCs w:val="24"/>
          <w:highlight w:val="none"/>
        </w:rPr>
        <w:t>公章或合同专用章</w:t>
      </w:r>
      <w:r>
        <w:rPr>
          <w:rStyle w:val="52"/>
          <w:rFonts w:hint="default"/>
          <w:sz w:val="22"/>
          <w:szCs w:val="24"/>
          <w:highlight w:val="none"/>
        </w:rPr>
        <w:t>）</w:t>
      </w:r>
      <w:r>
        <w:rPr>
          <w:rFonts w:hint="eastAsia"/>
          <w:color w:val="000000"/>
          <w:sz w:val="22"/>
          <w:szCs w:val="24"/>
          <w:highlight w:val="none"/>
        </w:rPr>
        <w:br w:type="textWrapping"/>
      </w:r>
      <w:r>
        <w:rPr>
          <w:rStyle w:val="52"/>
          <w:rFonts w:hint="default"/>
          <w:sz w:val="22"/>
          <w:szCs w:val="24"/>
          <w:highlight w:val="none"/>
        </w:rPr>
        <w:t xml:space="preserve">   年  月  日                           法定代表人或授权代理人：（签名或盖章）</w:t>
      </w:r>
      <w:r>
        <w:rPr>
          <w:rFonts w:hint="eastAsia"/>
          <w:color w:val="000000"/>
          <w:sz w:val="22"/>
          <w:szCs w:val="24"/>
          <w:highlight w:val="none"/>
        </w:rPr>
        <w:br w:type="textWrapping"/>
      </w:r>
      <w:r>
        <w:rPr>
          <w:rStyle w:val="52"/>
          <w:rFonts w:hint="default"/>
          <w:sz w:val="22"/>
          <w:szCs w:val="24"/>
          <w:highlight w:val="none"/>
        </w:rPr>
        <w:t xml:space="preserve">                                            年    月   日</w:t>
      </w:r>
    </w:p>
    <w:p w14:paraId="32D96019">
      <w:pPr>
        <w:pStyle w:val="36"/>
        <w:spacing w:line="360" w:lineRule="auto"/>
        <w:ind w:firstLine="0" w:firstLineChars="0"/>
        <w:jc w:val="left"/>
        <w:rPr>
          <w:rFonts w:hint="eastAsia" w:ascii="宋体" w:hAnsi="宋体" w:cs="FZSSK--GBK1-0"/>
          <w:b/>
          <w:kern w:val="0"/>
          <w:sz w:val="24"/>
          <w:szCs w:val="24"/>
          <w:highlight w:val="none"/>
        </w:rPr>
      </w:pPr>
    </w:p>
    <w:p w14:paraId="5E50EDAC">
      <w:pPr>
        <w:pStyle w:val="36"/>
        <w:spacing w:line="360" w:lineRule="auto"/>
        <w:ind w:firstLine="0" w:firstLineChars="0"/>
        <w:jc w:val="center"/>
        <w:rPr>
          <w:rFonts w:hint="eastAsia" w:ascii="宋体" w:hAnsi="宋体" w:cs="FZSSK--GBK1-0"/>
          <w:b/>
          <w:kern w:val="0"/>
          <w:sz w:val="24"/>
          <w:szCs w:val="24"/>
          <w:highlight w:val="none"/>
        </w:rPr>
      </w:pPr>
    </w:p>
    <w:p w14:paraId="64EC82DC">
      <w:pPr>
        <w:pStyle w:val="36"/>
        <w:spacing w:line="360" w:lineRule="auto"/>
        <w:ind w:firstLine="0" w:firstLineChars="0"/>
        <w:jc w:val="center"/>
        <w:rPr>
          <w:rFonts w:hint="eastAsia" w:ascii="宋体" w:hAnsi="宋体" w:cs="FZSSK--GBK1-0"/>
          <w:b/>
          <w:kern w:val="0"/>
          <w:sz w:val="24"/>
          <w:szCs w:val="24"/>
          <w:highlight w:val="none"/>
        </w:rPr>
      </w:pPr>
    </w:p>
    <w:p w14:paraId="030808F6">
      <w:pPr>
        <w:pStyle w:val="36"/>
        <w:spacing w:line="360" w:lineRule="auto"/>
        <w:ind w:firstLine="0" w:firstLineChars="0"/>
        <w:jc w:val="center"/>
        <w:rPr>
          <w:rFonts w:hint="eastAsia" w:ascii="宋体" w:hAnsi="宋体" w:cs="FZSSK--GBK1-0"/>
          <w:b/>
          <w:kern w:val="0"/>
          <w:sz w:val="24"/>
          <w:szCs w:val="24"/>
          <w:highlight w:val="none"/>
        </w:rPr>
      </w:pPr>
    </w:p>
    <w:p w14:paraId="4EDA504A">
      <w:pPr>
        <w:pStyle w:val="36"/>
        <w:spacing w:line="360" w:lineRule="auto"/>
        <w:ind w:firstLine="0" w:firstLineChars="0"/>
        <w:jc w:val="center"/>
        <w:rPr>
          <w:rFonts w:hint="eastAsia" w:ascii="宋体" w:hAnsi="宋体" w:cs="FZSSK--GBK1-0"/>
          <w:b/>
          <w:kern w:val="0"/>
          <w:sz w:val="24"/>
          <w:szCs w:val="24"/>
          <w:highlight w:val="none"/>
        </w:rPr>
      </w:pPr>
    </w:p>
    <w:p w14:paraId="06B344E9">
      <w:pPr>
        <w:pStyle w:val="36"/>
        <w:spacing w:line="360" w:lineRule="auto"/>
        <w:ind w:firstLine="0" w:firstLineChars="0"/>
        <w:jc w:val="center"/>
        <w:rPr>
          <w:rFonts w:hint="eastAsia" w:ascii="宋体" w:hAnsi="宋体" w:cs="FZSSK--GBK1-0"/>
          <w:b/>
          <w:kern w:val="0"/>
          <w:sz w:val="24"/>
          <w:szCs w:val="24"/>
          <w:highlight w:val="none"/>
        </w:rPr>
      </w:pPr>
    </w:p>
    <w:p w14:paraId="5C95FC88">
      <w:pPr>
        <w:pStyle w:val="36"/>
        <w:spacing w:line="360" w:lineRule="auto"/>
        <w:ind w:firstLine="0" w:firstLineChars="0"/>
        <w:jc w:val="center"/>
        <w:rPr>
          <w:rFonts w:hint="eastAsia" w:ascii="宋体" w:hAnsi="宋体" w:cs="FZSSK--GBK1-0"/>
          <w:b/>
          <w:kern w:val="0"/>
          <w:sz w:val="24"/>
          <w:szCs w:val="24"/>
          <w:highlight w:val="none"/>
        </w:rPr>
      </w:pPr>
    </w:p>
    <w:p w14:paraId="0F29F8A2">
      <w:pPr>
        <w:pStyle w:val="36"/>
        <w:spacing w:line="360" w:lineRule="auto"/>
        <w:ind w:firstLine="0" w:firstLineChars="0"/>
        <w:jc w:val="center"/>
        <w:rPr>
          <w:rFonts w:hint="eastAsia" w:ascii="宋体" w:hAnsi="宋体" w:cs="FZSSK--GBK1-0"/>
          <w:b/>
          <w:kern w:val="0"/>
          <w:sz w:val="24"/>
          <w:szCs w:val="24"/>
          <w:highlight w:val="none"/>
        </w:rPr>
      </w:pPr>
    </w:p>
    <w:p w14:paraId="79170A35">
      <w:pPr>
        <w:pStyle w:val="36"/>
        <w:spacing w:line="360" w:lineRule="auto"/>
        <w:ind w:firstLine="0" w:firstLineChars="0"/>
        <w:jc w:val="center"/>
        <w:rPr>
          <w:rFonts w:hint="eastAsia" w:ascii="宋体" w:hAnsi="宋体" w:cs="FZSSK--GBK1-0"/>
          <w:b/>
          <w:kern w:val="0"/>
          <w:sz w:val="24"/>
          <w:szCs w:val="24"/>
          <w:highlight w:val="none"/>
        </w:rPr>
      </w:pPr>
    </w:p>
    <w:p w14:paraId="348D212C">
      <w:pPr>
        <w:pStyle w:val="36"/>
        <w:spacing w:line="360" w:lineRule="auto"/>
        <w:ind w:firstLine="0" w:firstLineChars="0"/>
        <w:jc w:val="center"/>
        <w:rPr>
          <w:rFonts w:hint="eastAsia" w:ascii="宋体" w:hAnsi="宋体" w:cs="FZSSK--GBK1-0"/>
          <w:b/>
          <w:kern w:val="0"/>
          <w:sz w:val="24"/>
          <w:szCs w:val="24"/>
          <w:highlight w:val="none"/>
        </w:rPr>
      </w:pPr>
    </w:p>
    <w:p w14:paraId="4F363E96">
      <w:pPr>
        <w:pStyle w:val="36"/>
        <w:spacing w:line="360" w:lineRule="auto"/>
        <w:ind w:firstLine="0" w:firstLineChars="0"/>
        <w:jc w:val="center"/>
        <w:rPr>
          <w:rFonts w:hint="eastAsia" w:ascii="宋体" w:hAnsi="宋体" w:cs="FZSSK--GBK1-0"/>
          <w:b/>
          <w:kern w:val="0"/>
          <w:sz w:val="24"/>
          <w:szCs w:val="24"/>
          <w:highlight w:val="none"/>
        </w:rPr>
      </w:pPr>
    </w:p>
    <w:p w14:paraId="655FA5CA">
      <w:pPr>
        <w:pStyle w:val="36"/>
        <w:spacing w:line="360" w:lineRule="auto"/>
        <w:ind w:firstLine="0" w:firstLineChars="0"/>
        <w:jc w:val="center"/>
        <w:rPr>
          <w:rFonts w:hint="eastAsia" w:ascii="宋体" w:hAnsi="宋体" w:cs="FZSSK--GBK1-0"/>
          <w:b/>
          <w:kern w:val="0"/>
          <w:sz w:val="24"/>
          <w:szCs w:val="24"/>
          <w:highlight w:val="none"/>
        </w:rPr>
      </w:pPr>
    </w:p>
    <w:p w14:paraId="0CC613E8">
      <w:pPr>
        <w:pStyle w:val="36"/>
        <w:spacing w:line="360" w:lineRule="auto"/>
        <w:ind w:firstLine="0" w:firstLineChars="0"/>
        <w:jc w:val="center"/>
        <w:rPr>
          <w:rFonts w:hint="eastAsia" w:ascii="宋体" w:hAnsi="宋体" w:cs="FZSSK--GBK1-0"/>
          <w:b/>
          <w:kern w:val="0"/>
          <w:sz w:val="24"/>
          <w:szCs w:val="24"/>
          <w:highlight w:val="none"/>
        </w:rPr>
      </w:pPr>
    </w:p>
    <w:p w14:paraId="0AE7C2EF">
      <w:pPr>
        <w:pStyle w:val="36"/>
        <w:spacing w:line="360" w:lineRule="auto"/>
        <w:ind w:firstLine="0" w:firstLineChars="0"/>
        <w:jc w:val="center"/>
        <w:rPr>
          <w:rFonts w:hint="eastAsia" w:ascii="宋体" w:hAnsi="宋体" w:cs="FZSSK--GBK1-0"/>
          <w:b/>
          <w:kern w:val="0"/>
          <w:sz w:val="24"/>
          <w:szCs w:val="24"/>
          <w:highlight w:val="none"/>
        </w:rPr>
      </w:pPr>
    </w:p>
    <w:p w14:paraId="13B709BA">
      <w:pPr>
        <w:pStyle w:val="36"/>
        <w:spacing w:line="360" w:lineRule="auto"/>
        <w:ind w:firstLine="0" w:firstLineChars="0"/>
        <w:jc w:val="center"/>
        <w:rPr>
          <w:rFonts w:hint="eastAsia" w:ascii="宋体" w:hAnsi="宋体" w:cs="FZSSK--GBK1-0"/>
          <w:b/>
          <w:kern w:val="0"/>
          <w:sz w:val="24"/>
          <w:szCs w:val="24"/>
          <w:highlight w:val="none"/>
        </w:rPr>
      </w:pPr>
    </w:p>
    <w:p w14:paraId="7B7339E2">
      <w:pPr>
        <w:pStyle w:val="36"/>
        <w:spacing w:line="360" w:lineRule="auto"/>
        <w:ind w:firstLine="0" w:firstLineChars="0"/>
        <w:jc w:val="center"/>
        <w:rPr>
          <w:rFonts w:hint="eastAsia" w:ascii="宋体" w:hAnsi="宋体" w:cs="FZSSK--GBK1-0"/>
          <w:b/>
          <w:kern w:val="0"/>
          <w:sz w:val="24"/>
          <w:szCs w:val="24"/>
          <w:highlight w:val="none"/>
        </w:rPr>
      </w:pPr>
    </w:p>
    <w:p w14:paraId="2E41F727">
      <w:pPr>
        <w:pStyle w:val="36"/>
        <w:spacing w:line="360" w:lineRule="auto"/>
        <w:ind w:firstLine="0" w:firstLineChars="0"/>
        <w:jc w:val="center"/>
        <w:rPr>
          <w:rFonts w:hint="eastAsia" w:ascii="宋体" w:hAnsi="宋体" w:cs="FZSSK--GBK1-0"/>
          <w:b/>
          <w:kern w:val="0"/>
          <w:sz w:val="24"/>
          <w:szCs w:val="24"/>
          <w:highlight w:val="none"/>
        </w:rPr>
      </w:pPr>
    </w:p>
    <w:p w14:paraId="79070555">
      <w:pPr>
        <w:widowControl/>
        <w:jc w:val="left"/>
        <w:rPr>
          <w:highlight w:val="none"/>
        </w:rPr>
      </w:pPr>
    </w:p>
    <w:p w14:paraId="24A35B2A">
      <w:pPr>
        <w:pStyle w:val="2"/>
        <w:ind w:firstLine="301"/>
        <w:rPr>
          <w:rFonts w:hint="eastAsia" w:ascii="宋体" w:hAnsi="宋体" w:cs="宋体"/>
          <w:b/>
          <w:kern w:val="0"/>
          <w:sz w:val="15"/>
          <w:szCs w:val="11"/>
          <w:highlight w:val="none"/>
        </w:rPr>
      </w:pPr>
    </w:p>
    <w:p w14:paraId="18DD8DF7">
      <w:pPr>
        <w:rPr>
          <w:highlight w:val="none"/>
        </w:rPr>
      </w:pPr>
    </w:p>
    <w:p w14:paraId="51251243">
      <w:pPr>
        <w:rPr>
          <w:highlight w:val="none"/>
        </w:rPr>
      </w:pP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ZSSK--GBK1-0">
    <w:altName w:val="宋体"/>
    <w:panose1 w:val="02000000000000000000"/>
    <w:charset w:val="86"/>
    <w:family w:val="auto"/>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606108"/>
    </w:sdtPr>
    <w:sdtContent>
      <w:p w14:paraId="1704E590">
        <w:pPr>
          <w:pStyle w:val="8"/>
          <w:jc w:val="right"/>
        </w:pPr>
        <w:r>
          <w:fldChar w:fldCharType="begin"/>
        </w:r>
        <w:r>
          <w:instrText xml:space="preserve">PAGE   \* MERGEFORMAT</w:instrText>
        </w:r>
        <w:r>
          <w:fldChar w:fldCharType="separate"/>
        </w:r>
        <w:r>
          <w:rPr>
            <w:lang w:val="zh-CN"/>
          </w:rPr>
          <w:t>5</w:t>
        </w:r>
        <w:r>
          <w:fldChar w:fldCharType="end"/>
        </w:r>
      </w:p>
    </w:sdtContent>
  </w:sdt>
  <w:p w14:paraId="42C8F39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B06E">
    <w:pPr>
      <w:pStyle w:val="9"/>
      <w:ind w:right="720" w:firstLine="2340" w:firstLineChars="1300"/>
      <w:jc w:val="both"/>
    </w:pPr>
    <w:r>
      <w:drawing>
        <wp:inline distT="0" distB="0" distL="0" distR="0">
          <wp:extent cx="2139315" cy="327660"/>
          <wp:effectExtent l="0" t="0" r="13335" b="15240"/>
          <wp:docPr id="6" name="图片 6"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rPr>
      <w:t xml:space="preserve">      </w:t>
    </w:r>
    <w:r>
      <w:t>202</w:t>
    </w:r>
    <w:r>
      <w:rPr>
        <w:rFonts w:hint="eastAsia"/>
        <w:lang w:val="en-US" w:eastAsia="zh-CN"/>
      </w:rPr>
      <w:t>3</w:t>
    </w:r>
    <w:r>
      <w:rPr>
        <w:rFonts w:hint="eastAsia"/>
      </w:rPr>
      <w:t>年第</w:t>
    </w:r>
    <w:r>
      <w:rPr>
        <w:rFonts w:hint="eastAsia"/>
        <w:lang w:val="en-US" w:eastAsia="zh-CN"/>
      </w:rPr>
      <w:t>2</w:t>
    </w:r>
    <w:r>
      <w:rPr>
        <w:rFonts w:hint="eastAsia"/>
      </w:rPr>
      <w:t>版</w:t>
    </w:r>
  </w:p>
  <w:p w14:paraId="7E018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00F2">
    <w:pPr>
      <w:pStyle w:val="9"/>
      <w:ind w:right="720" w:firstLine="2340" w:firstLineChars="1300"/>
      <w:jc w:val="both"/>
      <w:rPr>
        <w:rFonts w:hint="default" w:eastAsia="宋体"/>
        <w:lang w:val="en-US" w:eastAsia="zh-CN"/>
      </w:rPr>
    </w:pPr>
    <w:r>
      <w:drawing>
        <wp:inline distT="0" distB="0" distL="0" distR="0">
          <wp:extent cx="2139315" cy="327660"/>
          <wp:effectExtent l="0" t="0" r="13335" b="15240"/>
          <wp:docPr id="7" name="图片 7"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rPr>
      <w:t xml:space="preserve">      </w:t>
    </w:r>
    <w:r>
      <w:rPr>
        <w:rFonts w:hint="eastAsia"/>
        <w:lang w:val="en-US" w:eastAsia="zh-CN"/>
      </w:rPr>
      <w:t>2024年第1版</w:t>
    </w:r>
  </w:p>
  <w:p w14:paraId="7905B9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0C6C">
    <w:pPr>
      <w:pStyle w:val="9"/>
      <w:ind w:right="720" w:firstLine="2340" w:firstLineChars="1300"/>
      <w:jc w:val="both"/>
    </w:pPr>
    <w:r>
      <w:drawing>
        <wp:inline distT="0" distB="0" distL="0" distR="0">
          <wp:extent cx="2139315" cy="327660"/>
          <wp:effectExtent l="0" t="0" r="13335" b="15240"/>
          <wp:docPr id="8" name="图片 8"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rPr>
      <w:t xml:space="preserve">      </w:t>
    </w:r>
  </w:p>
  <w:p w14:paraId="2DC681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49D6531F"/>
    <w:multiLevelType w:val="multilevel"/>
    <w:tmpl w:val="49D6531F"/>
    <w:lvl w:ilvl="0" w:tentative="0">
      <w:start w:val="1"/>
      <w:numFmt w:val="decimal"/>
      <w:suff w:val="space"/>
      <w:lvlText w:val="%1."/>
      <w:lvlJc w:val="left"/>
      <w:pPr>
        <w:ind w:left="440" w:hanging="44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DgyYjUxZjEzNjk0M2FiYjRkNWU4MDAxNzY0NjgifQ=="/>
  </w:docVars>
  <w:rsids>
    <w:rsidRoot w:val="00C37015"/>
    <w:rsid w:val="00002E09"/>
    <w:rsid w:val="00006C76"/>
    <w:rsid w:val="00012EA7"/>
    <w:rsid w:val="00013F76"/>
    <w:rsid w:val="00030251"/>
    <w:rsid w:val="00036053"/>
    <w:rsid w:val="00042655"/>
    <w:rsid w:val="00056580"/>
    <w:rsid w:val="00060C35"/>
    <w:rsid w:val="000638CD"/>
    <w:rsid w:val="00063BD5"/>
    <w:rsid w:val="00067EC9"/>
    <w:rsid w:val="00067FAB"/>
    <w:rsid w:val="00071518"/>
    <w:rsid w:val="0007316D"/>
    <w:rsid w:val="00074EAD"/>
    <w:rsid w:val="00075F63"/>
    <w:rsid w:val="00082610"/>
    <w:rsid w:val="00087A76"/>
    <w:rsid w:val="0009768A"/>
    <w:rsid w:val="000B18FA"/>
    <w:rsid w:val="000B44CA"/>
    <w:rsid w:val="000C1490"/>
    <w:rsid w:val="000C4157"/>
    <w:rsid w:val="000C6707"/>
    <w:rsid w:val="000D70BE"/>
    <w:rsid w:val="000D7884"/>
    <w:rsid w:val="000E3267"/>
    <w:rsid w:val="000F15CA"/>
    <w:rsid w:val="000F6D2D"/>
    <w:rsid w:val="001039CC"/>
    <w:rsid w:val="00107E7D"/>
    <w:rsid w:val="0011594E"/>
    <w:rsid w:val="0011764E"/>
    <w:rsid w:val="0012094C"/>
    <w:rsid w:val="00126020"/>
    <w:rsid w:val="001306CC"/>
    <w:rsid w:val="00130B51"/>
    <w:rsid w:val="001377F4"/>
    <w:rsid w:val="0014065C"/>
    <w:rsid w:val="00154BE4"/>
    <w:rsid w:val="001550A0"/>
    <w:rsid w:val="001554C5"/>
    <w:rsid w:val="00160B80"/>
    <w:rsid w:val="00161F1C"/>
    <w:rsid w:val="00162395"/>
    <w:rsid w:val="0016246A"/>
    <w:rsid w:val="00163FFB"/>
    <w:rsid w:val="0016407F"/>
    <w:rsid w:val="001651D9"/>
    <w:rsid w:val="0017356B"/>
    <w:rsid w:val="00175237"/>
    <w:rsid w:val="0017712F"/>
    <w:rsid w:val="00177B64"/>
    <w:rsid w:val="001818C8"/>
    <w:rsid w:val="001B2ABA"/>
    <w:rsid w:val="001C1FB3"/>
    <w:rsid w:val="001C24BF"/>
    <w:rsid w:val="001C4994"/>
    <w:rsid w:val="001C612A"/>
    <w:rsid w:val="001D56A4"/>
    <w:rsid w:val="001D6F04"/>
    <w:rsid w:val="001E34CC"/>
    <w:rsid w:val="001F21CD"/>
    <w:rsid w:val="001F4347"/>
    <w:rsid w:val="001F61D2"/>
    <w:rsid w:val="001F71E9"/>
    <w:rsid w:val="001F77EB"/>
    <w:rsid w:val="002011D5"/>
    <w:rsid w:val="00204B6B"/>
    <w:rsid w:val="00205235"/>
    <w:rsid w:val="00205410"/>
    <w:rsid w:val="00211F12"/>
    <w:rsid w:val="00212CC0"/>
    <w:rsid w:val="00216E84"/>
    <w:rsid w:val="002201EF"/>
    <w:rsid w:val="002325DE"/>
    <w:rsid w:val="00232CB1"/>
    <w:rsid w:val="00233DAF"/>
    <w:rsid w:val="0024425C"/>
    <w:rsid w:val="002447FE"/>
    <w:rsid w:val="002476FC"/>
    <w:rsid w:val="00251088"/>
    <w:rsid w:val="0025229D"/>
    <w:rsid w:val="00254251"/>
    <w:rsid w:val="002562A4"/>
    <w:rsid w:val="002579C1"/>
    <w:rsid w:val="00262A9F"/>
    <w:rsid w:val="002675E2"/>
    <w:rsid w:val="00270DA8"/>
    <w:rsid w:val="00281F89"/>
    <w:rsid w:val="002972DA"/>
    <w:rsid w:val="002A2AFE"/>
    <w:rsid w:val="002A391E"/>
    <w:rsid w:val="002A7948"/>
    <w:rsid w:val="002C3D75"/>
    <w:rsid w:val="002C7CC0"/>
    <w:rsid w:val="002D3318"/>
    <w:rsid w:val="002D6D10"/>
    <w:rsid w:val="002E0481"/>
    <w:rsid w:val="002E09C9"/>
    <w:rsid w:val="002E1E58"/>
    <w:rsid w:val="002E2A77"/>
    <w:rsid w:val="002F647C"/>
    <w:rsid w:val="00300E7B"/>
    <w:rsid w:val="00303FBE"/>
    <w:rsid w:val="003168CF"/>
    <w:rsid w:val="00321478"/>
    <w:rsid w:val="00323D61"/>
    <w:rsid w:val="00330379"/>
    <w:rsid w:val="00332B2E"/>
    <w:rsid w:val="00336A5C"/>
    <w:rsid w:val="003417D9"/>
    <w:rsid w:val="00346B8D"/>
    <w:rsid w:val="00350006"/>
    <w:rsid w:val="003514DE"/>
    <w:rsid w:val="00353580"/>
    <w:rsid w:val="00362543"/>
    <w:rsid w:val="00366D1B"/>
    <w:rsid w:val="003709F9"/>
    <w:rsid w:val="00375467"/>
    <w:rsid w:val="003A1786"/>
    <w:rsid w:val="003A46D7"/>
    <w:rsid w:val="003B0B2E"/>
    <w:rsid w:val="003B3DEB"/>
    <w:rsid w:val="003B50BA"/>
    <w:rsid w:val="003B678C"/>
    <w:rsid w:val="003B7686"/>
    <w:rsid w:val="003C0564"/>
    <w:rsid w:val="003C0911"/>
    <w:rsid w:val="003C20B5"/>
    <w:rsid w:val="003C4202"/>
    <w:rsid w:val="003C7E26"/>
    <w:rsid w:val="003D4871"/>
    <w:rsid w:val="003D5C42"/>
    <w:rsid w:val="003E4C00"/>
    <w:rsid w:val="003F0F3D"/>
    <w:rsid w:val="003F2A36"/>
    <w:rsid w:val="003F2C98"/>
    <w:rsid w:val="003F44D1"/>
    <w:rsid w:val="00401692"/>
    <w:rsid w:val="00404EB3"/>
    <w:rsid w:val="00416993"/>
    <w:rsid w:val="00416DD2"/>
    <w:rsid w:val="00426928"/>
    <w:rsid w:val="00432571"/>
    <w:rsid w:val="00433963"/>
    <w:rsid w:val="00441648"/>
    <w:rsid w:val="004458AF"/>
    <w:rsid w:val="004503CF"/>
    <w:rsid w:val="004516C6"/>
    <w:rsid w:val="00462709"/>
    <w:rsid w:val="004900BA"/>
    <w:rsid w:val="004903D1"/>
    <w:rsid w:val="004955CC"/>
    <w:rsid w:val="004A1DD2"/>
    <w:rsid w:val="004B3730"/>
    <w:rsid w:val="004B5032"/>
    <w:rsid w:val="004D193D"/>
    <w:rsid w:val="004E1C5F"/>
    <w:rsid w:val="004E27BE"/>
    <w:rsid w:val="004E42A4"/>
    <w:rsid w:val="004E7F08"/>
    <w:rsid w:val="004F2C41"/>
    <w:rsid w:val="004F67DA"/>
    <w:rsid w:val="00501D5B"/>
    <w:rsid w:val="00502510"/>
    <w:rsid w:val="0050508B"/>
    <w:rsid w:val="00505D76"/>
    <w:rsid w:val="00506949"/>
    <w:rsid w:val="00521EA9"/>
    <w:rsid w:val="00527FA5"/>
    <w:rsid w:val="005303F9"/>
    <w:rsid w:val="00531278"/>
    <w:rsid w:val="00531C41"/>
    <w:rsid w:val="005354B6"/>
    <w:rsid w:val="00544F06"/>
    <w:rsid w:val="00551948"/>
    <w:rsid w:val="00553108"/>
    <w:rsid w:val="005545C4"/>
    <w:rsid w:val="0055725F"/>
    <w:rsid w:val="00561BEE"/>
    <w:rsid w:val="00563B6B"/>
    <w:rsid w:val="00566136"/>
    <w:rsid w:val="00570649"/>
    <w:rsid w:val="00572B44"/>
    <w:rsid w:val="0057399A"/>
    <w:rsid w:val="0057565B"/>
    <w:rsid w:val="0057593B"/>
    <w:rsid w:val="00582E85"/>
    <w:rsid w:val="00590B9B"/>
    <w:rsid w:val="00591AFF"/>
    <w:rsid w:val="00592A90"/>
    <w:rsid w:val="005A6C09"/>
    <w:rsid w:val="005B2897"/>
    <w:rsid w:val="005B3811"/>
    <w:rsid w:val="005C3C0D"/>
    <w:rsid w:val="005C7D7C"/>
    <w:rsid w:val="005D0243"/>
    <w:rsid w:val="005D0A47"/>
    <w:rsid w:val="005D1B16"/>
    <w:rsid w:val="005E5A2B"/>
    <w:rsid w:val="00601540"/>
    <w:rsid w:val="00607B8F"/>
    <w:rsid w:val="00610AC2"/>
    <w:rsid w:val="00610CC6"/>
    <w:rsid w:val="00611AB1"/>
    <w:rsid w:val="00612B17"/>
    <w:rsid w:val="00613075"/>
    <w:rsid w:val="00626B20"/>
    <w:rsid w:val="0064719D"/>
    <w:rsid w:val="0065270B"/>
    <w:rsid w:val="0065635D"/>
    <w:rsid w:val="00670A6B"/>
    <w:rsid w:val="00682135"/>
    <w:rsid w:val="0068561C"/>
    <w:rsid w:val="00686459"/>
    <w:rsid w:val="0069024C"/>
    <w:rsid w:val="00695E37"/>
    <w:rsid w:val="006A6017"/>
    <w:rsid w:val="006D07CE"/>
    <w:rsid w:val="006D2B71"/>
    <w:rsid w:val="006E0305"/>
    <w:rsid w:val="006E44FA"/>
    <w:rsid w:val="006F116F"/>
    <w:rsid w:val="006F1183"/>
    <w:rsid w:val="006F168D"/>
    <w:rsid w:val="006F2272"/>
    <w:rsid w:val="006F593D"/>
    <w:rsid w:val="006F6199"/>
    <w:rsid w:val="0070073B"/>
    <w:rsid w:val="00702F44"/>
    <w:rsid w:val="00703412"/>
    <w:rsid w:val="00704850"/>
    <w:rsid w:val="00705E58"/>
    <w:rsid w:val="007061A0"/>
    <w:rsid w:val="007073E2"/>
    <w:rsid w:val="00715C55"/>
    <w:rsid w:val="00717587"/>
    <w:rsid w:val="007316F8"/>
    <w:rsid w:val="00735227"/>
    <w:rsid w:val="00737151"/>
    <w:rsid w:val="00737B8B"/>
    <w:rsid w:val="00740532"/>
    <w:rsid w:val="007466FD"/>
    <w:rsid w:val="00754A27"/>
    <w:rsid w:val="007620AF"/>
    <w:rsid w:val="0077470D"/>
    <w:rsid w:val="007818FD"/>
    <w:rsid w:val="00786ED3"/>
    <w:rsid w:val="00790F85"/>
    <w:rsid w:val="007A3A24"/>
    <w:rsid w:val="007B26C0"/>
    <w:rsid w:val="007B794C"/>
    <w:rsid w:val="007C4F77"/>
    <w:rsid w:val="007D10C7"/>
    <w:rsid w:val="007E1858"/>
    <w:rsid w:val="007E221B"/>
    <w:rsid w:val="00800A74"/>
    <w:rsid w:val="00802F59"/>
    <w:rsid w:val="0080364A"/>
    <w:rsid w:val="008059E9"/>
    <w:rsid w:val="0081619A"/>
    <w:rsid w:val="00820FDB"/>
    <w:rsid w:val="0082262A"/>
    <w:rsid w:val="00823CBA"/>
    <w:rsid w:val="00824D27"/>
    <w:rsid w:val="008264DD"/>
    <w:rsid w:val="00827AF6"/>
    <w:rsid w:val="008341AF"/>
    <w:rsid w:val="0083507A"/>
    <w:rsid w:val="00840F7B"/>
    <w:rsid w:val="00845BAD"/>
    <w:rsid w:val="00853919"/>
    <w:rsid w:val="00857BF6"/>
    <w:rsid w:val="008623E6"/>
    <w:rsid w:val="0086599B"/>
    <w:rsid w:val="00871928"/>
    <w:rsid w:val="00873753"/>
    <w:rsid w:val="00882D0E"/>
    <w:rsid w:val="00885395"/>
    <w:rsid w:val="00886BE5"/>
    <w:rsid w:val="008963F3"/>
    <w:rsid w:val="00896D0D"/>
    <w:rsid w:val="008A4B83"/>
    <w:rsid w:val="008A6C0D"/>
    <w:rsid w:val="008B1B40"/>
    <w:rsid w:val="008B46FC"/>
    <w:rsid w:val="008B5F62"/>
    <w:rsid w:val="008C1C9F"/>
    <w:rsid w:val="008C5D3E"/>
    <w:rsid w:val="008D3D94"/>
    <w:rsid w:val="008D5241"/>
    <w:rsid w:val="008D7F1D"/>
    <w:rsid w:val="008E02AE"/>
    <w:rsid w:val="008E3529"/>
    <w:rsid w:val="008E5540"/>
    <w:rsid w:val="008E7C33"/>
    <w:rsid w:val="008F01AE"/>
    <w:rsid w:val="008F3777"/>
    <w:rsid w:val="008F77B9"/>
    <w:rsid w:val="00900208"/>
    <w:rsid w:val="009034E5"/>
    <w:rsid w:val="00905BE1"/>
    <w:rsid w:val="009133DD"/>
    <w:rsid w:val="00920130"/>
    <w:rsid w:val="0092228C"/>
    <w:rsid w:val="00923B8E"/>
    <w:rsid w:val="009246BB"/>
    <w:rsid w:val="00930BE0"/>
    <w:rsid w:val="009317BA"/>
    <w:rsid w:val="0093299E"/>
    <w:rsid w:val="00935429"/>
    <w:rsid w:val="00944BA4"/>
    <w:rsid w:val="009526D7"/>
    <w:rsid w:val="00956F7C"/>
    <w:rsid w:val="00967C81"/>
    <w:rsid w:val="0097175A"/>
    <w:rsid w:val="009728BE"/>
    <w:rsid w:val="009742EE"/>
    <w:rsid w:val="00976EB6"/>
    <w:rsid w:val="009771F7"/>
    <w:rsid w:val="00981AEC"/>
    <w:rsid w:val="009842CF"/>
    <w:rsid w:val="00985027"/>
    <w:rsid w:val="009860DC"/>
    <w:rsid w:val="009862EC"/>
    <w:rsid w:val="00990FDD"/>
    <w:rsid w:val="00993BFC"/>
    <w:rsid w:val="009964B3"/>
    <w:rsid w:val="00997000"/>
    <w:rsid w:val="009978E0"/>
    <w:rsid w:val="009A2B86"/>
    <w:rsid w:val="009A67CD"/>
    <w:rsid w:val="009B0191"/>
    <w:rsid w:val="009B01B2"/>
    <w:rsid w:val="009C1931"/>
    <w:rsid w:val="009C5C9C"/>
    <w:rsid w:val="009D4B12"/>
    <w:rsid w:val="009E198F"/>
    <w:rsid w:val="009F6918"/>
    <w:rsid w:val="00A01BFB"/>
    <w:rsid w:val="00A04354"/>
    <w:rsid w:val="00A07E70"/>
    <w:rsid w:val="00A21196"/>
    <w:rsid w:val="00A22887"/>
    <w:rsid w:val="00A25999"/>
    <w:rsid w:val="00A277A4"/>
    <w:rsid w:val="00A27BB4"/>
    <w:rsid w:val="00A30C7C"/>
    <w:rsid w:val="00A3419B"/>
    <w:rsid w:val="00A353FE"/>
    <w:rsid w:val="00A37B5E"/>
    <w:rsid w:val="00A55421"/>
    <w:rsid w:val="00A572CA"/>
    <w:rsid w:val="00A629AC"/>
    <w:rsid w:val="00A736FC"/>
    <w:rsid w:val="00A741DF"/>
    <w:rsid w:val="00A77EF6"/>
    <w:rsid w:val="00A81229"/>
    <w:rsid w:val="00A83E9E"/>
    <w:rsid w:val="00A83F25"/>
    <w:rsid w:val="00A87A14"/>
    <w:rsid w:val="00A90654"/>
    <w:rsid w:val="00AA1294"/>
    <w:rsid w:val="00AB04A3"/>
    <w:rsid w:val="00AB05D6"/>
    <w:rsid w:val="00AB6194"/>
    <w:rsid w:val="00AC4455"/>
    <w:rsid w:val="00AC6E9C"/>
    <w:rsid w:val="00AD2D14"/>
    <w:rsid w:val="00AD324B"/>
    <w:rsid w:val="00AE4962"/>
    <w:rsid w:val="00AE4A16"/>
    <w:rsid w:val="00AF4D02"/>
    <w:rsid w:val="00AF6F2F"/>
    <w:rsid w:val="00B05BC7"/>
    <w:rsid w:val="00B07926"/>
    <w:rsid w:val="00B15616"/>
    <w:rsid w:val="00B22ABC"/>
    <w:rsid w:val="00B23596"/>
    <w:rsid w:val="00B40FE4"/>
    <w:rsid w:val="00B45323"/>
    <w:rsid w:val="00B6175A"/>
    <w:rsid w:val="00B62095"/>
    <w:rsid w:val="00B62ADC"/>
    <w:rsid w:val="00B64770"/>
    <w:rsid w:val="00B75915"/>
    <w:rsid w:val="00B76085"/>
    <w:rsid w:val="00B8171A"/>
    <w:rsid w:val="00B82AA9"/>
    <w:rsid w:val="00B82BA0"/>
    <w:rsid w:val="00B855AC"/>
    <w:rsid w:val="00B93A8A"/>
    <w:rsid w:val="00B94C07"/>
    <w:rsid w:val="00B94CD1"/>
    <w:rsid w:val="00BA2472"/>
    <w:rsid w:val="00BB4506"/>
    <w:rsid w:val="00BB6E35"/>
    <w:rsid w:val="00BD6DDC"/>
    <w:rsid w:val="00BD70A1"/>
    <w:rsid w:val="00BE2D27"/>
    <w:rsid w:val="00BE2DF8"/>
    <w:rsid w:val="00BF121D"/>
    <w:rsid w:val="00BF33FA"/>
    <w:rsid w:val="00C002E7"/>
    <w:rsid w:val="00C04FC3"/>
    <w:rsid w:val="00C10C06"/>
    <w:rsid w:val="00C11C8E"/>
    <w:rsid w:val="00C1272B"/>
    <w:rsid w:val="00C25018"/>
    <w:rsid w:val="00C37015"/>
    <w:rsid w:val="00C37E91"/>
    <w:rsid w:val="00C42F90"/>
    <w:rsid w:val="00C44BBC"/>
    <w:rsid w:val="00C519C7"/>
    <w:rsid w:val="00C633BA"/>
    <w:rsid w:val="00C70634"/>
    <w:rsid w:val="00C713BB"/>
    <w:rsid w:val="00C73774"/>
    <w:rsid w:val="00C74CD1"/>
    <w:rsid w:val="00C80CBC"/>
    <w:rsid w:val="00C95E88"/>
    <w:rsid w:val="00CA09B1"/>
    <w:rsid w:val="00CA12CD"/>
    <w:rsid w:val="00CA5114"/>
    <w:rsid w:val="00CA5C21"/>
    <w:rsid w:val="00CB0756"/>
    <w:rsid w:val="00CC169B"/>
    <w:rsid w:val="00CC2719"/>
    <w:rsid w:val="00CC63DE"/>
    <w:rsid w:val="00CC670E"/>
    <w:rsid w:val="00CD03A1"/>
    <w:rsid w:val="00CD2294"/>
    <w:rsid w:val="00CE0191"/>
    <w:rsid w:val="00CE07BC"/>
    <w:rsid w:val="00CE24EA"/>
    <w:rsid w:val="00CE30D2"/>
    <w:rsid w:val="00CF7603"/>
    <w:rsid w:val="00D0026C"/>
    <w:rsid w:val="00D032C7"/>
    <w:rsid w:val="00D10C0D"/>
    <w:rsid w:val="00D12871"/>
    <w:rsid w:val="00D159FA"/>
    <w:rsid w:val="00D33D79"/>
    <w:rsid w:val="00D363EC"/>
    <w:rsid w:val="00D37961"/>
    <w:rsid w:val="00D44CB4"/>
    <w:rsid w:val="00D4774A"/>
    <w:rsid w:val="00D47949"/>
    <w:rsid w:val="00D55299"/>
    <w:rsid w:val="00D748A3"/>
    <w:rsid w:val="00D822A8"/>
    <w:rsid w:val="00D84C5E"/>
    <w:rsid w:val="00D86932"/>
    <w:rsid w:val="00D951B1"/>
    <w:rsid w:val="00D96CA2"/>
    <w:rsid w:val="00DA04BE"/>
    <w:rsid w:val="00DA282E"/>
    <w:rsid w:val="00DA5BD0"/>
    <w:rsid w:val="00DB0CBA"/>
    <w:rsid w:val="00DC17C5"/>
    <w:rsid w:val="00DD126D"/>
    <w:rsid w:val="00DE447E"/>
    <w:rsid w:val="00DE4F17"/>
    <w:rsid w:val="00DE7713"/>
    <w:rsid w:val="00DF54EA"/>
    <w:rsid w:val="00E01C6D"/>
    <w:rsid w:val="00E04014"/>
    <w:rsid w:val="00E04862"/>
    <w:rsid w:val="00E04E4C"/>
    <w:rsid w:val="00E13710"/>
    <w:rsid w:val="00E20136"/>
    <w:rsid w:val="00E341B9"/>
    <w:rsid w:val="00E40401"/>
    <w:rsid w:val="00E477B3"/>
    <w:rsid w:val="00E554B1"/>
    <w:rsid w:val="00E62E0B"/>
    <w:rsid w:val="00E67B51"/>
    <w:rsid w:val="00E714B8"/>
    <w:rsid w:val="00E75656"/>
    <w:rsid w:val="00E776B8"/>
    <w:rsid w:val="00E77CA3"/>
    <w:rsid w:val="00E91385"/>
    <w:rsid w:val="00EA7460"/>
    <w:rsid w:val="00EA7605"/>
    <w:rsid w:val="00EB30E7"/>
    <w:rsid w:val="00EC4F3F"/>
    <w:rsid w:val="00EC524D"/>
    <w:rsid w:val="00ED1BC1"/>
    <w:rsid w:val="00ED35ED"/>
    <w:rsid w:val="00EF451D"/>
    <w:rsid w:val="00EF5F72"/>
    <w:rsid w:val="00EF6A55"/>
    <w:rsid w:val="00EF6F5A"/>
    <w:rsid w:val="00F03270"/>
    <w:rsid w:val="00F13D1F"/>
    <w:rsid w:val="00F21235"/>
    <w:rsid w:val="00F21DAC"/>
    <w:rsid w:val="00F24601"/>
    <w:rsid w:val="00F30850"/>
    <w:rsid w:val="00F30A60"/>
    <w:rsid w:val="00F30A79"/>
    <w:rsid w:val="00F31637"/>
    <w:rsid w:val="00F36E42"/>
    <w:rsid w:val="00F4294F"/>
    <w:rsid w:val="00F44B33"/>
    <w:rsid w:val="00F44F20"/>
    <w:rsid w:val="00F50025"/>
    <w:rsid w:val="00F57D1A"/>
    <w:rsid w:val="00F6464E"/>
    <w:rsid w:val="00F7532C"/>
    <w:rsid w:val="00F927C7"/>
    <w:rsid w:val="00F92E07"/>
    <w:rsid w:val="00F970C1"/>
    <w:rsid w:val="00FA74F9"/>
    <w:rsid w:val="00FB3CF6"/>
    <w:rsid w:val="00FC0B23"/>
    <w:rsid w:val="00FD171A"/>
    <w:rsid w:val="00FD1B23"/>
    <w:rsid w:val="00FD6740"/>
    <w:rsid w:val="00FD7DFD"/>
    <w:rsid w:val="00FF098D"/>
    <w:rsid w:val="01AF0E8E"/>
    <w:rsid w:val="02203B3A"/>
    <w:rsid w:val="022117B2"/>
    <w:rsid w:val="029C7664"/>
    <w:rsid w:val="03045209"/>
    <w:rsid w:val="03FA543F"/>
    <w:rsid w:val="03FB768C"/>
    <w:rsid w:val="04BE439C"/>
    <w:rsid w:val="04BF763A"/>
    <w:rsid w:val="04D05965"/>
    <w:rsid w:val="05601EAC"/>
    <w:rsid w:val="05B21852"/>
    <w:rsid w:val="05E07987"/>
    <w:rsid w:val="06B37672"/>
    <w:rsid w:val="06B50A07"/>
    <w:rsid w:val="073836D3"/>
    <w:rsid w:val="07925AB4"/>
    <w:rsid w:val="07CA6A21"/>
    <w:rsid w:val="0844749F"/>
    <w:rsid w:val="08C85A63"/>
    <w:rsid w:val="0967467E"/>
    <w:rsid w:val="098B2857"/>
    <w:rsid w:val="0A382368"/>
    <w:rsid w:val="0AB24678"/>
    <w:rsid w:val="0BCB720C"/>
    <w:rsid w:val="0C860147"/>
    <w:rsid w:val="0D2E5445"/>
    <w:rsid w:val="0D8F28C7"/>
    <w:rsid w:val="0DEB6311"/>
    <w:rsid w:val="0F362BEE"/>
    <w:rsid w:val="0F492922"/>
    <w:rsid w:val="0F835FDD"/>
    <w:rsid w:val="111331E7"/>
    <w:rsid w:val="113168B2"/>
    <w:rsid w:val="11F528ED"/>
    <w:rsid w:val="120668A8"/>
    <w:rsid w:val="12B427A8"/>
    <w:rsid w:val="12F9640D"/>
    <w:rsid w:val="13904C4C"/>
    <w:rsid w:val="13AE66BB"/>
    <w:rsid w:val="13C17DCA"/>
    <w:rsid w:val="149D4EA0"/>
    <w:rsid w:val="149F4D92"/>
    <w:rsid w:val="15A37A4F"/>
    <w:rsid w:val="162F0E03"/>
    <w:rsid w:val="164B51D1"/>
    <w:rsid w:val="16900FA7"/>
    <w:rsid w:val="17023E31"/>
    <w:rsid w:val="17101F77"/>
    <w:rsid w:val="17111A1C"/>
    <w:rsid w:val="171C6B6E"/>
    <w:rsid w:val="17546ED5"/>
    <w:rsid w:val="176E75A7"/>
    <w:rsid w:val="18196D0F"/>
    <w:rsid w:val="18E86820"/>
    <w:rsid w:val="19377C8F"/>
    <w:rsid w:val="19AA5F23"/>
    <w:rsid w:val="19CF699B"/>
    <w:rsid w:val="1A541C1F"/>
    <w:rsid w:val="1AF06347"/>
    <w:rsid w:val="1B373F76"/>
    <w:rsid w:val="1B8076CB"/>
    <w:rsid w:val="1B833934"/>
    <w:rsid w:val="1BC60C21"/>
    <w:rsid w:val="1BFB523A"/>
    <w:rsid w:val="1F561F9F"/>
    <w:rsid w:val="1FE57655"/>
    <w:rsid w:val="201B3E66"/>
    <w:rsid w:val="20E10DCC"/>
    <w:rsid w:val="21773525"/>
    <w:rsid w:val="219A525F"/>
    <w:rsid w:val="22323B2C"/>
    <w:rsid w:val="22455C1C"/>
    <w:rsid w:val="22625D7D"/>
    <w:rsid w:val="22A30143"/>
    <w:rsid w:val="23AB5D00"/>
    <w:rsid w:val="23CE7442"/>
    <w:rsid w:val="244468C2"/>
    <w:rsid w:val="248C79AC"/>
    <w:rsid w:val="250A6257"/>
    <w:rsid w:val="2667430B"/>
    <w:rsid w:val="26B76FA1"/>
    <w:rsid w:val="27286C34"/>
    <w:rsid w:val="27AC1848"/>
    <w:rsid w:val="27CE7A10"/>
    <w:rsid w:val="28C0162C"/>
    <w:rsid w:val="28D76955"/>
    <w:rsid w:val="294361DC"/>
    <w:rsid w:val="29AE7AF9"/>
    <w:rsid w:val="29BA5BB3"/>
    <w:rsid w:val="2A9678C7"/>
    <w:rsid w:val="2C1B6177"/>
    <w:rsid w:val="2C6C4D2D"/>
    <w:rsid w:val="2C8C46A9"/>
    <w:rsid w:val="2FAC6889"/>
    <w:rsid w:val="30152E9F"/>
    <w:rsid w:val="301D32E3"/>
    <w:rsid w:val="30671151"/>
    <w:rsid w:val="306979BA"/>
    <w:rsid w:val="30731155"/>
    <w:rsid w:val="30E447A3"/>
    <w:rsid w:val="30FD2286"/>
    <w:rsid w:val="311013CA"/>
    <w:rsid w:val="315C608D"/>
    <w:rsid w:val="317E4255"/>
    <w:rsid w:val="31FE7229"/>
    <w:rsid w:val="333D6FFE"/>
    <w:rsid w:val="337C47C4"/>
    <w:rsid w:val="33B026C0"/>
    <w:rsid w:val="347A4DEB"/>
    <w:rsid w:val="348C0A37"/>
    <w:rsid w:val="34F52A80"/>
    <w:rsid w:val="35CB37E1"/>
    <w:rsid w:val="362B6BB7"/>
    <w:rsid w:val="363C648D"/>
    <w:rsid w:val="36C00E6C"/>
    <w:rsid w:val="37357164"/>
    <w:rsid w:val="37560ADB"/>
    <w:rsid w:val="3794274B"/>
    <w:rsid w:val="38C04E66"/>
    <w:rsid w:val="39521E19"/>
    <w:rsid w:val="397F0B6A"/>
    <w:rsid w:val="39B527DE"/>
    <w:rsid w:val="3A2B2AA0"/>
    <w:rsid w:val="3AE96BE3"/>
    <w:rsid w:val="3C4E2A76"/>
    <w:rsid w:val="3C83149C"/>
    <w:rsid w:val="3E0E31D8"/>
    <w:rsid w:val="3E245FEF"/>
    <w:rsid w:val="3F0A7928"/>
    <w:rsid w:val="3F2F6B8F"/>
    <w:rsid w:val="3F4D5D17"/>
    <w:rsid w:val="402266F3"/>
    <w:rsid w:val="40905434"/>
    <w:rsid w:val="409C64A6"/>
    <w:rsid w:val="40C66732"/>
    <w:rsid w:val="40CA2F55"/>
    <w:rsid w:val="418A6A80"/>
    <w:rsid w:val="418B4F8A"/>
    <w:rsid w:val="418F6742"/>
    <w:rsid w:val="41FD11C6"/>
    <w:rsid w:val="42507548"/>
    <w:rsid w:val="42547935"/>
    <w:rsid w:val="427172FE"/>
    <w:rsid w:val="42985042"/>
    <w:rsid w:val="42EF0F21"/>
    <w:rsid w:val="43AA0BE5"/>
    <w:rsid w:val="43CD6976"/>
    <w:rsid w:val="44AD42E9"/>
    <w:rsid w:val="44D81A76"/>
    <w:rsid w:val="456A6B72"/>
    <w:rsid w:val="45A25E67"/>
    <w:rsid w:val="45C45C8D"/>
    <w:rsid w:val="45EE236C"/>
    <w:rsid w:val="464A0752"/>
    <w:rsid w:val="464B4401"/>
    <w:rsid w:val="46D85D5E"/>
    <w:rsid w:val="46DD5122"/>
    <w:rsid w:val="46EB5A91"/>
    <w:rsid w:val="47461AE0"/>
    <w:rsid w:val="47525B10"/>
    <w:rsid w:val="47582C8D"/>
    <w:rsid w:val="479A52CC"/>
    <w:rsid w:val="47BF0C2B"/>
    <w:rsid w:val="47C02A7A"/>
    <w:rsid w:val="47E4539E"/>
    <w:rsid w:val="47FF2B92"/>
    <w:rsid w:val="487B4F82"/>
    <w:rsid w:val="48BB76E5"/>
    <w:rsid w:val="48C05A14"/>
    <w:rsid w:val="492C7B93"/>
    <w:rsid w:val="49C03205"/>
    <w:rsid w:val="49D903B4"/>
    <w:rsid w:val="4A4C0A76"/>
    <w:rsid w:val="4A7330EF"/>
    <w:rsid w:val="4AAE4DCE"/>
    <w:rsid w:val="4AD60806"/>
    <w:rsid w:val="4B394AC8"/>
    <w:rsid w:val="4B542126"/>
    <w:rsid w:val="4B647BC0"/>
    <w:rsid w:val="4B791343"/>
    <w:rsid w:val="4BFA7ED1"/>
    <w:rsid w:val="4C237A7B"/>
    <w:rsid w:val="4C2A532E"/>
    <w:rsid w:val="4C6205A3"/>
    <w:rsid w:val="4CBD6E5F"/>
    <w:rsid w:val="4CE6593D"/>
    <w:rsid w:val="4D6534F3"/>
    <w:rsid w:val="4D6B19C4"/>
    <w:rsid w:val="4DF2260A"/>
    <w:rsid w:val="4E2875CB"/>
    <w:rsid w:val="4E43218A"/>
    <w:rsid w:val="4E740A62"/>
    <w:rsid w:val="4F757CF2"/>
    <w:rsid w:val="506159A2"/>
    <w:rsid w:val="50D15CF8"/>
    <w:rsid w:val="51894976"/>
    <w:rsid w:val="51A2283B"/>
    <w:rsid w:val="52E11A99"/>
    <w:rsid w:val="53897DC2"/>
    <w:rsid w:val="53AB30B6"/>
    <w:rsid w:val="53BF0D3F"/>
    <w:rsid w:val="53C41B44"/>
    <w:rsid w:val="543710C2"/>
    <w:rsid w:val="54F2448F"/>
    <w:rsid w:val="54FD1457"/>
    <w:rsid w:val="553F29B5"/>
    <w:rsid w:val="55E71B19"/>
    <w:rsid w:val="56231755"/>
    <w:rsid w:val="5627752B"/>
    <w:rsid w:val="56747930"/>
    <w:rsid w:val="56C105BC"/>
    <w:rsid w:val="56D71B8E"/>
    <w:rsid w:val="573572FB"/>
    <w:rsid w:val="5806097D"/>
    <w:rsid w:val="59142A9B"/>
    <w:rsid w:val="593B4656"/>
    <w:rsid w:val="594C7839"/>
    <w:rsid w:val="59505C28"/>
    <w:rsid w:val="59A71857"/>
    <w:rsid w:val="59B83951"/>
    <w:rsid w:val="5B6104F4"/>
    <w:rsid w:val="5C4C3613"/>
    <w:rsid w:val="5C537F09"/>
    <w:rsid w:val="5C71038F"/>
    <w:rsid w:val="5DB16588"/>
    <w:rsid w:val="5DBF03C3"/>
    <w:rsid w:val="5DE83F7A"/>
    <w:rsid w:val="5E084D23"/>
    <w:rsid w:val="5E4044BD"/>
    <w:rsid w:val="5E460857"/>
    <w:rsid w:val="5F1249CD"/>
    <w:rsid w:val="5F176DE0"/>
    <w:rsid w:val="5F4B3119"/>
    <w:rsid w:val="5F8A2A77"/>
    <w:rsid w:val="60002155"/>
    <w:rsid w:val="606A06FB"/>
    <w:rsid w:val="6131633F"/>
    <w:rsid w:val="617F08A1"/>
    <w:rsid w:val="61FA2BD4"/>
    <w:rsid w:val="62574F87"/>
    <w:rsid w:val="625B3400"/>
    <w:rsid w:val="639B241E"/>
    <w:rsid w:val="63FF28D7"/>
    <w:rsid w:val="64882AF3"/>
    <w:rsid w:val="64AD03D2"/>
    <w:rsid w:val="64B82FFF"/>
    <w:rsid w:val="652628BC"/>
    <w:rsid w:val="668A09CB"/>
    <w:rsid w:val="66BD6235"/>
    <w:rsid w:val="670378C7"/>
    <w:rsid w:val="675B264D"/>
    <w:rsid w:val="67CB6C97"/>
    <w:rsid w:val="67DD4B2A"/>
    <w:rsid w:val="68362CD3"/>
    <w:rsid w:val="68532153"/>
    <w:rsid w:val="6908207B"/>
    <w:rsid w:val="6A207324"/>
    <w:rsid w:val="6A4B0471"/>
    <w:rsid w:val="6A603986"/>
    <w:rsid w:val="6B6D3C09"/>
    <w:rsid w:val="6BDF5315"/>
    <w:rsid w:val="6C752831"/>
    <w:rsid w:val="6D4713C4"/>
    <w:rsid w:val="6DAD5197"/>
    <w:rsid w:val="6DAF6813"/>
    <w:rsid w:val="6E3556C0"/>
    <w:rsid w:val="6EBA5BC5"/>
    <w:rsid w:val="6F2474E3"/>
    <w:rsid w:val="6F3E6FC2"/>
    <w:rsid w:val="6FED61BC"/>
    <w:rsid w:val="702B2A3F"/>
    <w:rsid w:val="710F1020"/>
    <w:rsid w:val="716C5C41"/>
    <w:rsid w:val="726E0D34"/>
    <w:rsid w:val="7332735B"/>
    <w:rsid w:val="7350629F"/>
    <w:rsid w:val="74B439F0"/>
    <w:rsid w:val="74F703C0"/>
    <w:rsid w:val="7519298A"/>
    <w:rsid w:val="75297601"/>
    <w:rsid w:val="755C1784"/>
    <w:rsid w:val="757F0F64"/>
    <w:rsid w:val="761C31A1"/>
    <w:rsid w:val="76572C36"/>
    <w:rsid w:val="76766876"/>
    <w:rsid w:val="77192F79"/>
    <w:rsid w:val="777C6F6A"/>
    <w:rsid w:val="779D1DEB"/>
    <w:rsid w:val="780A7D9A"/>
    <w:rsid w:val="79806824"/>
    <w:rsid w:val="79E163B0"/>
    <w:rsid w:val="79FD6B9E"/>
    <w:rsid w:val="7B8C152C"/>
    <w:rsid w:val="7C114393"/>
    <w:rsid w:val="7D52346D"/>
    <w:rsid w:val="7D5F438B"/>
    <w:rsid w:val="7D811E66"/>
    <w:rsid w:val="7E3037AE"/>
    <w:rsid w:val="7EB67ABC"/>
    <w:rsid w:val="7ED019F9"/>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rPr>
      <w:rFonts w:ascii="Times New Roman" w:hAnsi="Times New Roman"/>
    </w:rPr>
  </w:style>
  <w:style w:type="paragraph" w:styleId="3">
    <w:name w:val="Document Map"/>
    <w:basedOn w:val="1"/>
    <w:link w:val="31"/>
    <w:unhideWhenUsed/>
    <w:qFormat/>
    <w:uiPriority w:val="99"/>
    <w:rPr>
      <w:rFonts w:ascii="宋体"/>
      <w:sz w:val="24"/>
      <w:szCs w:val="24"/>
    </w:rPr>
  </w:style>
  <w:style w:type="paragraph" w:styleId="4">
    <w:name w:val="annotation text"/>
    <w:basedOn w:val="1"/>
    <w:link w:val="56"/>
    <w:unhideWhenUsed/>
    <w:qFormat/>
    <w:uiPriority w:val="99"/>
    <w:pPr>
      <w:jc w:val="left"/>
    </w:pPr>
  </w:style>
  <w:style w:type="paragraph" w:styleId="5">
    <w:name w:val="Body Text"/>
    <w:basedOn w:val="1"/>
    <w:link w:val="33"/>
    <w:unhideWhenUsed/>
    <w:qFormat/>
    <w:uiPriority w:val="99"/>
    <w:pPr>
      <w:spacing w:after="120"/>
    </w:pPr>
  </w:style>
  <w:style w:type="paragraph" w:styleId="6">
    <w:name w:val="Body Text Indent"/>
    <w:basedOn w:val="1"/>
    <w:semiHidden/>
    <w:unhideWhenUsed/>
    <w:qFormat/>
    <w:uiPriority w:val="99"/>
    <w:pPr>
      <w:spacing w:after="120"/>
      <w:ind w:left="420" w:leftChars="200"/>
    </w:pPr>
    <w:rPr>
      <w:rFonts w:asciiTheme="minorHAnsi" w:hAnsiTheme="minorHAnsi" w:eastAsiaTheme="minorEastAsia" w:cstheme="minorBidi"/>
      <w:kern w:val="0"/>
      <w:sz w:val="20"/>
    </w:rPr>
  </w:style>
  <w:style w:type="paragraph" w:styleId="7">
    <w:name w:val="Balloon Text"/>
    <w:basedOn w:val="1"/>
    <w:link w:val="51"/>
    <w:unhideWhenUsed/>
    <w:qFormat/>
    <w:uiPriority w:val="99"/>
    <w:rPr>
      <w:sz w:val="18"/>
      <w:szCs w:val="18"/>
    </w:rPr>
  </w:style>
  <w:style w:type="paragraph" w:styleId="8">
    <w:name w:val="footer"/>
    <w:basedOn w:val="1"/>
    <w:link w:val="47"/>
    <w:unhideWhenUsed/>
    <w:qFormat/>
    <w:uiPriority w:val="99"/>
    <w:pPr>
      <w:tabs>
        <w:tab w:val="center" w:pos="4153"/>
        <w:tab w:val="right" w:pos="8306"/>
      </w:tabs>
      <w:snapToGrid w:val="0"/>
      <w:jc w:val="left"/>
    </w:pPr>
    <w:rPr>
      <w:sz w:val="18"/>
      <w:szCs w:val="18"/>
    </w:rPr>
  </w:style>
  <w:style w:type="paragraph" w:styleId="9">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60"/>
    <w:semiHidden/>
    <w:unhideWhenUsed/>
    <w:qFormat/>
    <w:uiPriority w:val="99"/>
    <w:pPr>
      <w:snapToGrid w:val="0"/>
      <w:jc w:val="left"/>
    </w:pPr>
    <w:rPr>
      <w:rFonts w:eastAsia="宋体" w:cs="Times New Roman"/>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50"/>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rFonts w:ascii="Times New Roman" w:hAnsi="Times New Roman" w:eastAsia="宋体" w:cs="Times New Roman"/>
      <w:b/>
    </w:rPr>
  </w:style>
  <w:style w:type="character" w:styleId="17">
    <w:name w:val="page number"/>
    <w:semiHidden/>
    <w:unhideWhenUsed/>
    <w:qFormat/>
    <w:uiPriority w:val="99"/>
    <w:rPr>
      <w:rFonts w:ascii="Times New Roman" w:hAnsi="Times New Roman" w:eastAsia="宋体" w:cs="Times New Roman"/>
    </w:rPr>
  </w:style>
  <w:style w:type="character" w:styleId="18">
    <w:name w:val="Emphasis"/>
    <w:qFormat/>
    <w:uiPriority w:val="20"/>
    <w:rPr>
      <w:rFonts w:ascii="Calibri" w:hAnsi="Calibri" w:eastAsia="宋体" w:cs="Times New Roman"/>
      <w:i/>
    </w:rPr>
  </w:style>
  <w:style w:type="character" w:styleId="19">
    <w:name w:val="Hyperlink"/>
    <w:basedOn w:val="15"/>
    <w:unhideWhenUsed/>
    <w:qFormat/>
    <w:uiPriority w:val="99"/>
    <w:rPr>
      <w:rFonts w:ascii="Times New Roman" w:hAnsi="Times New Roman" w:eastAsia="宋体" w:cs="Times New Roman"/>
      <w:color w:val="0563C1" w:themeColor="hyperlink"/>
      <w:u w:val="single"/>
      <w14:textFill>
        <w14:solidFill>
          <w14:schemeClr w14:val="hlink"/>
        </w14:solidFill>
      </w14:textFill>
    </w:rPr>
  </w:style>
  <w:style w:type="character" w:styleId="20">
    <w:name w:val="annotation reference"/>
    <w:basedOn w:val="15"/>
    <w:unhideWhenUsed/>
    <w:qFormat/>
    <w:uiPriority w:val="99"/>
    <w:rPr>
      <w:rFonts w:ascii="Times New Roman" w:hAnsi="Times New Roman" w:eastAsia="宋体" w:cs="Times New Roman"/>
      <w:sz w:val="21"/>
      <w:szCs w:val="21"/>
    </w:rPr>
  </w:style>
  <w:style w:type="character" w:styleId="21">
    <w:name w:val="footnote reference"/>
    <w:basedOn w:val="15"/>
    <w:semiHidden/>
    <w:unhideWhenUsed/>
    <w:qFormat/>
    <w:uiPriority w:val="99"/>
    <w:rPr>
      <w:rFonts w:ascii="Times New Roman" w:hAnsi="Times New Roman" w:eastAsia="宋体" w:cs="Times New Roman"/>
      <w:vertAlign w:val="superscript"/>
      <w:lang w:val="en-US" w:eastAsia="zh-CN" w:bidi="ar-SA"/>
    </w:rPr>
  </w:style>
  <w:style w:type="character" w:customStyle="1" w:styleId="22">
    <w:name w:val="页眉 Char"/>
    <w:basedOn w:val="15"/>
    <w:link w:val="9"/>
    <w:qFormat/>
    <w:uiPriority w:val="99"/>
    <w:rPr>
      <w:rFonts w:ascii="Times New Roman" w:hAnsi="Times New Roman" w:eastAsia="宋体" w:cs="Times New Roman"/>
      <w:sz w:val="18"/>
      <w:szCs w:val="18"/>
    </w:rPr>
  </w:style>
  <w:style w:type="character" w:customStyle="1" w:styleId="23">
    <w:name w:val="页脚 Char"/>
    <w:basedOn w:val="15"/>
    <w:link w:val="8"/>
    <w:qFormat/>
    <w:uiPriority w:val="99"/>
    <w:rPr>
      <w:rFonts w:ascii="Times New Roman" w:hAnsi="Times New Roman" w:eastAsia="宋体" w:cs="Times New Roman"/>
      <w:sz w:val="18"/>
      <w:szCs w:val="18"/>
    </w:rPr>
  </w:style>
  <w:style w:type="character" w:customStyle="1" w:styleId="24">
    <w:name w:val="批注框文本 Char"/>
    <w:basedOn w:val="15"/>
    <w:link w:val="7"/>
    <w:semiHidden/>
    <w:qFormat/>
    <w:uiPriority w:val="99"/>
    <w:rPr>
      <w:rFonts w:ascii="Times New Roman" w:hAnsi="Times New Roman" w:eastAsia="宋体" w:cs="Times New Roman"/>
      <w:sz w:val="18"/>
      <w:szCs w:val="18"/>
    </w:rPr>
  </w:style>
  <w:style w:type="paragraph" w:customStyle="1" w:styleId="25">
    <w:name w:val="列出段落1"/>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批注文字 Char"/>
    <w:basedOn w:val="15"/>
    <w:link w:val="4"/>
    <w:qFormat/>
    <w:uiPriority w:val="99"/>
    <w:rPr>
      <w:rFonts w:ascii="Times New Roman" w:hAnsi="Times New Roman" w:eastAsia="宋体" w:cs="Times New Roman"/>
    </w:rPr>
  </w:style>
  <w:style w:type="character" w:customStyle="1" w:styleId="28">
    <w:name w:val="批注主题 Char"/>
    <w:basedOn w:val="27"/>
    <w:link w:val="12"/>
    <w:semiHidden/>
    <w:qFormat/>
    <w:uiPriority w:val="99"/>
    <w:rPr>
      <w:b/>
      <w:bCs/>
    </w:rPr>
  </w:style>
  <w:style w:type="paragraph" w:customStyle="1" w:styleId="29">
    <w:name w:val="列出段落2"/>
    <w:basedOn w:val="1"/>
    <w:unhideWhenUsed/>
    <w:qFormat/>
    <w:uiPriority w:val="99"/>
    <w:pPr>
      <w:ind w:firstLine="420" w:firstLineChars="200"/>
    </w:pPr>
  </w:style>
  <w:style w:type="character" w:customStyle="1" w:styleId="30">
    <w:name w:val="15"/>
    <w:basedOn w:val="15"/>
    <w:qFormat/>
    <w:uiPriority w:val="0"/>
    <w:rPr>
      <w:rFonts w:hint="default" w:ascii="Times New Roman" w:hAnsi="Times New Roman" w:eastAsia="宋体" w:cs="Times New Roman"/>
      <w:b/>
      <w:bCs/>
    </w:rPr>
  </w:style>
  <w:style w:type="character" w:customStyle="1" w:styleId="31">
    <w:name w:val="文档结构图 Char"/>
    <w:basedOn w:val="15"/>
    <w:link w:val="3"/>
    <w:semiHidden/>
    <w:qFormat/>
    <w:uiPriority w:val="99"/>
    <w:rPr>
      <w:rFonts w:ascii="宋体" w:hAnsi="Times New Roman" w:eastAsia="宋体" w:cs="Times New Roman"/>
      <w:sz w:val="24"/>
      <w:szCs w:val="24"/>
    </w:rPr>
  </w:style>
  <w:style w:type="paragraph" w:customStyle="1" w:styleId="32">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33">
    <w:name w:val="正文文本 Char"/>
    <w:basedOn w:val="15"/>
    <w:link w:val="5"/>
    <w:semiHidden/>
    <w:qFormat/>
    <w:uiPriority w:val="99"/>
    <w:rPr>
      <w:rFonts w:ascii="Times New Roman" w:hAnsi="Times New Roman" w:eastAsia="宋体" w:cs="Times New Roman"/>
    </w:rPr>
  </w:style>
  <w:style w:type="table" w:customStyle="1" w:styleId="34">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5">
    <w:name w:val="修订1"/>
    <w:hidden/>
    <w:unhideWhenUsed/>
    <w:qFormat/>
    <w:uiPriority w:val="99"/>
    <w:rPr>
      <w:rFonts w:ascii="Calibri" w:hAnsi="Calibri" w:eastAsia="宋体" w:cs="Times New Roman"/>
      <w:kern w:val="2"/>
      <w:sz w:val="21"/>
      <w:szCs w:val="22"/>
      <w:lang w:val="en-US" w:eastAsia="zh-CN" w:bidi="ar-SA"/>
    </w:rPr>
  </w:style>
  <w:style w:type="paragraph" w:customStyle="1" w:styleId="36">
    <w:name w:val="列表段落1"/>
    <w:basedOn w:val="1"/>
    <w:qFormat/>
    <w:uiPriority w:val="99"/>
    <w:pPr>
      <w:ind w:firstLine="420" w:firstLineChars="200"/>
    </w:pPr>
  </w:style>
  <w:style w:type="paragraph" w:customStyle="1" w:styleId="37">
    <w:name w:val="修订2"/>
    <w:hidden/>
    <w:semiHidden/>
    <w:qFormat/>
    <w:uiPriority w:val="99"/>
    <w:rPr>
      <w:rFonts w:ascii="Calibri" w:hAnsi="Calibri" w:eastAsia="宋体" w:cs="Times New Roman"/>
      <w:kern w:val="2"/>
      <w:sz w:val="21"/>
      <w:szCs w:val="22"/>
      <w:lang w:val="en-US" w:eastAsia="zh-CN" w:bidi="ar-SA"/>
    </w:rPr>
  </w:style>
  <w:style w:type="character" w:customStyle="1" w:styleId="38">
    <w:name w:val="未处理的提及1"/>
    <w:basedOn w:val="15"/>
    <w:unhideWhenUsed/>
    <w:qFormat/>
    <w:uiPriority w:val="99"/>
    <w:rPr>
      <w:rFonts w:ascii="Times New Roman" w:hAnsi="Times New Roman" w:eastAsia="宋体" w:cs="Times New Roman"/>
      <w:color w:val="605E5C"/>
      <w:shd w:val="clear" w:color="auto" w:fill="E1DFDD"/>
    </w:rPr>
  </w:style>
  <w:style w:type="paragraph" w:customStyle="1" w:styleId="39">
    <w:name w:val="列出段落3"/>
    <w:basedOn w:val="1"/>
    <w:qFormat/>
    <w:uiPriority w:val="99"/>
    <w:pPr>
      <w:ind w:firstLine="420" w:firstLineChars="200"/>
    </w:pPr>
  </w:style>
  <w:style w:type="paragraph" w:customStyle="1" w:styleId="40">
    <w:name w:val="修订3"/>
    <w:hidden/>
    <w:semiHidden/>
    <w:qFormat/>
    <w:uiPriority w:val="99"/>
    <w:rPr>
      <w:rFonts w:ascii="Calibri" w:hAnsi="Calibri" w:eastAsia="宋体" w:cs="Times New Roman"/>
      <w:kern w:val="2"/>
      <w:sz w:val="21"/>
      <w:szCs w:val="22"/>
      <w:lang w:val="en-US" w:eastAsia="zh-CN" w:bidi="ar-SA"/>
    </w:rPr>
  </w:style>
  <w:style w:type="character" w:customStyle="1" w:styleId="41">
    <w:name w:val="highlight"/>
    <w:basedOn w:val="15"/>
    <w:qFormat/>
    <w:uiPriority w:val="0"/>
    <w:rPr>
      <w:rFonts w:ascii="Times New Roman" w:hAnsi="Times New Roman" w:eastAsia="宋体" w:cs="Times New Roman"/>
    </w:rPr>
  </w:style>
  <w:style w:type="paragraph" w:customStyle="1" w:styleId="42">
    <w:name w:val="修订4"/>
    <w:hidden/>
    <w:semiHidden/>
    <w:qFormat/>
    <w:uiPriority w:val="99"/>
    <w:rPr>
      <w:rFonts w:ascii="Calibri" w:hAnsi="Calibri" w:eastAsia="宋体" w:cs="Times New Roman"/>
      <w:kern w:val="2"/>
      <w:sz w:val="21"/>
      <w:szCs w:val="22"/>
      <w:lang w:val="en-US" w:eastAsia="zh-CN" w:bidi="ar-SA"/>
    </w:rPr>
  </w:style>
  <w:style w:type="paragraph" w:customStyle="1" w:styleId="43">
    <w:name w:val="p_doc-A"/>
    <w:basedOn w:val="44"/>
    <w:qFormat/>
    <w:uiPriority w:val="0"/>
    <w:pPr>
      <w:ind w:firstLine="480"/>
    </w:pPr>
    <w:rPr>
      <w:rFonts w:ascii="微软雅黑" w:hAnsi="微软雅黑" w:eastAsia="微软雅黑" w:cs="微软雅黑"/>
      <w:sz w:val="24"/>
      <w:szCs w:val="24"/>
    </w:rPr>
  </w:style>
  <w:style w:type="paragraph" w:customStyle="1" w:styleId="44">
    <w:name w:val="p"/>
    <w:basedOn w:val="1"/>
    <w:qFormat/>
    <w:uiPriority w:val="0"/>
  </w:style>
  <w:style w:type="paragraph" w:customStyle="1" w:styleId="45">
    <w:name w:val="修订5"/>
    <w:hidden/>
    <w:semiHidden/>
    <w:qFormat/>
    <w:uiPriority w:val="99"/>
    <w:rPr>
      <w:rFonts w:ascii="Calibri" w:hAnsi="Calibri" w:eastAsia="宋体" w:cs="Times New Roman"/>
      <w:kern w:val="2"/>
      <w:sz w:val="21"/>
      <w:szCs w:val="22"/>
      <w:lang w:val="en-US" w:eastAsia="zh-CN" w:bidi="ar-SA"/>
    </w:rPr>
  </w:style>
  <w:style w:type="character" w:customStyle="1" w:styleId="46">
    <w:name w:val="页眉 字符"/>
    <w:basedOn w:val="15"/>
    <w:link w:val="9"/>
    <w:qFormat/>
    <w:uiPriority w:val="99"/>
    <w:rPr>
      <w:rFonts w:ascii="Times New Roman" w:hAnsi="Times New Roman" w:eastAsia="宋体" w:cs="Times New Roman"/>
      <w:sz w:val="18"/>
      <w:szCs w:val="18"/>
    </w:rPr>
  </w:style>
  <w:style w:type="character" w:customStyle="1" w:styleId="47">
    <w:name w:val="页脚 字符"/>
    <w:basedOn w:val="15"/>
    <w:link w:val="8"/>
    <w:qFormat/>
    <w:uiPriority w:val="99"/>
    <w:rPr>
      <w:rFonts w:ascii="Times New Roman" w:hAnsi="Times New Roman" w:eastAsia="宋体" w:cs="Times New Roman"/>
      <w:sz w:val="18"/>
      <w:szCs w:val="18"/>
    </w:rPr>
  </w:style>
  <w:style w:type="paragraph" w:customStyle="1" w:styleId="4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批注文字 字符"/>
    <w:basedOn w:val="15"/>
    <w:link w:val="4"/>
    <w:semiHidden/>
    <w:qFormat/>
    <w:uiPriority w:val="99"/>
    <w:rPr>
      <w:rFonts w:ascii="Times New Roman" w:hAnsi="Times New Roman" w:eastAsia="宋体" w:cs="Times New Roman"/>
    </w:rPr>
  </w:style>
  <w:style w:type="character" w:customStyle="1" w:styleId="50">
    <w:name w:val="批注主题 字符"/>
    <w:basedOn w:val="49"/>
    <w:link w:val="12"/>
    <w:semiHidden/>
    <w:qFormat/>
    <w:uiPriority w:val="99"/>
    <w:rPr>
      <w:b/>
      <w:bCs/>
    </w:rPr>
  </w:style>
  <w:style w:type="character" w:customStyle="1" w:styleId="51">
    <w:name w:val="批注框文本 字符"/>
    <w:basedOn w:val="15"/>
    <w:link w:val="7"/>
    <w:semiHidden/>
    <w:qFormat/>
    <w:uiPriority w:val="99"/>
    <w:rPr>
      <w:rFonts w:ascii="Times New Roman" w:hAnsi="Times New Roman" w:eastAsia="宋体" w:cs="Times New Roman"/>
      <w:sz w:val="18"/>
      <w:szCs w:val="18"/>
    </w:rPr>
  </w:style>
  <w:style w:type="character" w:customStyle="1" w:styleId="52">
    <w:name w:val="fontstyle01"/>
    <w:basedOn w:val="15"/>
    <w:qFormat/>
    <w:uiPriority w:val="0"/>
    <w:rPr>
      <w:rFonts w:hint="default" w:ascii="FZSSK--GBK1-0" w:hAnsi="FZSSK--GBK1-0" w:eastAsia="宋体" w:cs="Times New Roman"/>
      <w:color w:val="000000"/>
      <w:sz w:val="24"/>
      <w:szCs w:val="24"/>
    </w:rPr>
  </w:style>
  <w:style w:type="paragraph" w:styleId="53">
    <w:name w:val="List Paragraph"/>
    <w:basedOn w:val="1"/>
    <w:semiHidden/>
    <w:unhideWhenUsed/>
    <w:qFormat/>
    <w:uiPriority w:val="99"/>
    <w:pPr>
      <w:ind w:firstLine="420" w:firstLineChars="200"/>
    </w:pPr>
    <w:rPr>
      <w:rFonts w:asciiTheme="minorHAnsi" w:hAnsiTheme="minorHAnsi" w:eastAsiaTheme="minorEastAsia" w:cstheme="minorBidi"/>
    </w:rPr>
  </w:style>
  <w:style w:type="paragraph" w:customStyle="1" w:styleId="54">
    <w:name w:val="Char Char Char Char Char Char Char Char Char Char Char Char"/>
    <w:basedOn w:val="1"/>
    <w:qFormat/>
    <w:uiPriority w:val="0"/>
    <w:pPr>
      <w:widowControl/>
      <w:spacing w:after="160" w:line="240" w:lineRule="exact"/>
      <w:jc w:val="left"/>
    </w:pPr>
    <w:rPr>
      <w:rFonts w:ascii="Tahoma" w:hAnsi="Tahoma" w:eastAsia="宋体" w:cs="Tahoma"/>
      <w:szCs w:val="21"/>
    </w:rPr>
  </w:style>
  <w:style w:type="character" w:customStyle="1" w:styleId="55">
    <w:name w:val="未处理的提及2"/>
    <w:basedOn w:val="15"/>
    <w:unhideWhenUsed/>
    <w:qFormat/>
    <w:uiPriority w:val="99"/>
    <w:rPr>
      <w:rFonts w:ascii="Times New Roman" w:hAnsi="Times New Roman" w:eastAsia="宋体" w:cs="Times New Roman"/>
      <w:color w:val="605E5C"/>
      <w:shd w:val="clear" w:color="auto" w:fill="E1DFDD"/>
    </w:rPr>
  </w:style>
  <w:style w:type="character" w:customStyle="1" w:styleId="56">
    <w:name w:val="批注文字 字符1"/>
    <w:link w:val="4"/>
    <w:qFormat/>
    <w:uiPriority w:val="99"/>
    <w:rPr>
      <w:rFonts w:ascii="Calibri" w:hAnsi="Calibri" w:eastAsia="宋体" w:cs="Times New Roman"/>
      <w:kern w:val="2"/>
      <w:sz w:val="21"/>
      <w:szCs w:val="22"/>
    </w:rPr>
  </w:style>
  <w:style w:type="character" w:customStyle="1" w:styleId="57">
    <w:name w:val="页眉 字符1"/>
    <w:link w:val="9"/>
    <w:semiHidden/>
    <w:qFormat/>
    <w:uiPriority w:val="0"/>
    <w:rPr>
      <w:rFonts w:ascii="Calibri" w:hAnsi="Calibri" w:eastAsia="宋体" w:cs="Times New Roman"/>
      <w:sz w:val="18"/>
      <w:szCs w:val="18"/>
      <w:lang w:val="en-US" w:eastAsia="zh-CN" w:bidi="ar-SA"/>
    </w:rPr>
  </w:style>
  <w:style w:type="paragraph" w:customStyle="1" w:styleId="58">
    <w:name w:val="_Style 55"/>
    <w:unhideWhenUsed/>
    <w:qFormat/>
    <w:uiPriority w:val="99"/>
    <w:rPr>
      <w:rFonts w:ascii="Calibri" w:hAnsi="Calibri" w:eastAsia="宋体" w:cs="Times New Roman"/>
      <w:kern w:val="2"/>
      <w:sz w:val="21"/>
      <w:szCs w:val="22"/>
      <w:lang w:val="en-US" w:eastAsia="zh-CN" w:bidi="ar-SA"/>
    </w:rPr>
  </w:style>
  <w:style w:type="paragraph" w:customStyle="1" w:styleId="59">
    <w:name w:val="彩色底纹 - 强调文字颜色 11"/>
    <w:qFormat/>
    <w:uiPriority w:val="71"/>
    <w:rPr>
      <w:rFonts w:ascii="Calibri" w:hAnsi="Calibri" w:eastAsia="宋体" w:cs="Times New Roman"/>
      <w:kern w:val="2"/>
      <w:sz w:val="21"/>
      <w:szCs w:val="22"/>
      <w:lang w:val="en-US" w:eastAsia="zh-CN" w:bidi="ar-SA"/>
    </w:rPr>
  </w:style>
  <w:style w:type="character" w:customStyle="1" w:styleId="60">
    <w:name w:val="脚注文本 Char"/>
    <w:basedOn w:val="15"/>
    <w:link w:val="10"/>
    <w:autoRedefine/>
    <w:semiHidden/>
    <w:qFormat/>
    <w:uiPriority w:val="99"/>
    <w:rPr>
      <w:rFonts w:ascii="Times New Roman"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附件7：产品说明书（天添金2013年第304期）.dot</Template>
  <Company>微软中国</Company>
  <Pages>34</Pages>
  <Words>17684</Words>
  <Characters>18693</Characters>
  <Lines>123</Lines>
  <Paragraphs>34</Paragraphs>
  <TotalTime>0</TotalTime>
  <ScaleCrop>false</ScaleCrop>
  <LinksUpToDate>false</LinksUpToDate>
  <CharactersWithSpaces>18760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2024-07-31T02:17:00Z</dcterms:created>
  <dc:creator>匿名用户</dc:creator>
  <cp:lastModifiedBy>笑煞</cp:lastModifiedBy>
  <cp:lastPrinted>2024-07-31T05:46:00Z</cp:lastPrinted>
  <dcterms:modified xsi:type="dcterms:W3CDTF">2024-12-02T05:44:04Z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A103D513C05E4D2298C17A863A81D375</vt:lpwstr>
  </property>
</Properties>
</file>