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P="00120F3B">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招银理财招睿丰和（信用精选）360天持有期1号固定收益类理财计划</w:t>
      </w:r>
    </w:p>
    <w:p w:rsidR="00AF5DEE" w:rsidRPr="004C7F8B" w:rsidP="00AF5DEE">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2024</w:t>
      </w:r>
      <w:r w:rsidR="000D55A6">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年度</w:t>
      </w:r>
      <w:r w:rsidRPr="004C7F8B">
        <w:rPr>
          <w:rFonts w:ascii="宋体" w:hAnsi="宋体" w:hint="eastAsia"/>
          <w:b/>
          <w:color w:val="000000"/>
          <w:sz w:val="32"/>
          <w:szCs w:val="32"/>
          <w:shd w:val="clear" w:color="auto" w:fill="FFFFFF"/>
        </w:rPr>
        <w:t>报告</w:t>
      </w:r>
    </w:p>
    <w:p w:rsidR="00AF5DEE" w:rsidRPr="004C7F8B" w:rsidP="00AF5DEE">
      <w:pPr>
        <w:jc w:val="center"/>
        <w:rPr>
          <w:rFonts w:ascii="宋体" w:hAnsi="宋体"/>
          <w:b/>
          <w:sz w:val="32"/>
          <w:szCs w:val="32"/>
          <w:shd w:val="clear" w:color="auto" w:fill="FFFFFF"/>
        </w:rPr>
      </w:pPr>
      <w:r w:rsidRPr="004C7F8B">
        <w:rPr>
          <w:rFonts w:ascii="宋体" w:hAnsi="宋体" w:hint="eastAsia"/>
          <w:b/>
          <w:sz w:val="32"/>
          <w:szCs w:val="32"/>
          <w:shd w:val="clear" w:color="auto" w:fill="FFFFFF"/>
        </w:rPr>
        <w:t>（</w:t>
      </w:r>
      <w:r w:rsidR="00536C4E">
        <w:rPr>
          <w:rFonts w:ascii="宋体" w:hAnsi="宋体" w:hint="eastAsia"/>
          <w:b/>
          <w:sz w:val="32"/>
          <w:szCs w:val="32"/>
          <w:shd w:val="clear" w:color="auto" w:fill="FFFFFF"/>
        </w:rPr>
        <w:t>产品</w:t>
      </w:r>
      <w:r w:rsidRPr="004C7F8B">
        <w:rPr>
          <w:rFonts w:ascii="宋体" w:hAnsi="宋体"/>
          <w:b/>
          <w:sz w:val="32"/>
          <w:szCs w:val="32"/>
          <w:shd w:val="clear" w:color="auto" w:fill="FFFFFF"/>
        </w:rPr>
        <w:t>代码：</w:t>
      </w:r>
      <w:r>
        <w:rPr>
          <w:rFonts w:ascii="宋体" w:eastAsia="宋体" w:hAnsi="宋体" w:cs="宋体"/>
          <w:b/>
          <w:i w:val="0"/>
          <w:color w:val="000000"/>
          <w:position w:val="-1"/>
          <w:sz w:val="32"/>
          <w:u w:val="none"/>
        </w:rPr>
        <w:t>107552</w:t>
      </w:r>
      <w:r w:rsidRPr="004C7F8B">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P="00AF5DEE">
      <w:pPr>
        <w:jc w:val="center"/>
        <w:rPr>
          <w:rFonts w:ascii="宋体" w:hAnsi="宋体"/>
          <w:sz w:val="24"/>
          <w:shd w:val="clear" w:color="auto" w:fill="FFFFFF"/>
        </w:rPr>
      </w:pPr>
    </w:p>
    <w:p w:rsidR="00AF5DEE" w:rsidRPr="007105A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D02D0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F17D61">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rsidRPr="00AF5DEE">
      <w:pPr>
        <w:jc w:val="center"/>
        <w:rPr>
          <w:rFonts w:ascii="宋体" w:hAnsi="宋体"/>
          <w:b/>
          <w:sz w:val="32"/>
          <w:szCs w:val="32"/>
          <w:shd w:val="clear" w:color="auto" w:fill="FFFFFF"/>
        </w:rPr>
      </w:pPr>
    </w:p>
    <w:p w:rsidR="00680F50" w:rsidRPr="004C7F8B">
      <w:pPr>
        <w:jc w:val="cente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A642F9">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A642F9">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A642F9">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sidRPr="00A642F9">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"_Toc256000004" </w:instrText>
      </w:r>
      <w:r>
        <w:fldChar w:fldCharType="separate"/>
      </w:r>
      <w:r w:rsidRPr="00A642F9">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_Toc256000004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A642F9">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A642F9">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A642F9">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_Toc256000007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A642F9">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1237C">
        <w:rPr>
          <w:rStyle w:val="Hyperlink"/>
          <w:rFonts w:hint="eastAsia"/>
        </w:rPr>
        <w:t xml:space="preserve">4.2 </w:t>
      </w:r>
      <w:r w:rsidRPr="0071237C" w:rsidR="00364152">
        <w:rPr>
          <w:rStyle w:val="Hyperlink"/>
          <w:rFonts w:hint="eastAsia"/>
        </w:rPr>
        <w:t>理财产品报告期内关联</w:t>
      </w:r>
      <w:r w:rsidRPr="0071237C">
        <w:rPr>
          <w:rStyle w:val="Hyperlink"/>
          <w:rFonts w:hint="eastAsia"/>
        </w:rPr>
        <w:t>交易</w:t>
      </w:r>
      <w:r w:rsidRPr="0071237C" w:rsidR="005C0C96">
        <w:rPr>
          <w:rStyle w:val="Hyperlink"/>
          <w:rFonts w:hint="eastAsia"/>
        </w:rPr>
        <w:t>发生</w:t>
      </w:r>
      <w:r w:rsidRPr="0071237C">
        <w:rPr>
          <w:rStyle w:val="Hyperlink"/>
          <w:rFonts w:hint="eastAsia"/>
        </w:rPr>
        <w:t>情况</w:t>
      </w:r>
      <w:r>
        <w:rPr>
          <w:rStyle w:val="Hyperlink"/>
        </w:rPr>
        <w:tab/>
      </w:r>
      <w:r>
        <w:fldChar w:fldCharType="begin"/>
      </w:r>
      <w:r>
        <w:rPr>
          <w:rStyle w:val="Hyperlink"/>
        </w:rPr>
        <w:instrText xml:space="preserve"> PAGEREF _Toc256000009 \h </w:instrText>
      </w:r>
      <w:r>
        <w:fldChar w:fldCharType="separate"/>
      </w:r>
      <w:r>
        <w:rPr>
          <w:rStyle w:val="Hyperlink"/>
        </w:rPr>
        <w:t>5</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1237C">
        <w:rPr>
          <w:rStyle w:val="Hyperlink"/>
          <w:rFonts w:ascii="宋体" w:hAnsi="宋体" w:hint="eastAsia"/>
          <w:shd w:val="clear" w:color="auto" w:fill="FFFFFF"/>
        </w:rPr>
        <w:t>§</w:t>
      </w:r>
      <w:r w:rsidRPr="0071237C" w:rsidR="00B21928">
        <w:rPr>
          <w:rStyle w:val="Hyperlink"/>
          <w:rFonts w:ascii="宋体" w:hAnsi="宋体"/>
          <w:shd w:val="clear" w:color="auto" w:fill="FFFFFF"/>
        </w:rPr>
        <w:t>5</w:t>
      </w:r>
      <w:r w:rsidRPr="0071237C">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1237C">
        <w:rPr>
          <w:rStyle w:val="Hyperlink"/>
          <w:shd w:val="clear" w:color="auto" w:fill="FFFFFF"/>
        </w:rPr>
        <w:t>5</w:t>
      </w:r>
      <w:r w:rsidRPr="0071237C">
        <w:rPr>
          <w:rStyle w:val="Hyperlink"/>
          <w:rFonts w:hint="eastAsia"/>
          <w:shd w:val="clear" w:color="auto" w:fill="FFFFFF"/>
        </w:rPr>
        <w:t>.1 期末理财产品资产组合情况</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shd w:val="clear" w:color="auto" w:fill="FFFFFF"/>
        </w:rPr>
        <w:t>5.2 期末投资组合前十项资产</w:t>
      </w:r>
      <w:r>
        <w:rPr>
          <w:rStyle w:val="Hyperlink"/>
        </w:rPr>
        <w:tab/>
      </w:r>
      <w:r>
        <w:fldChar w:fldCharType="begin"/>
      </w:r>
      <w:r>
        <w:rPr>
          <w:rStyle w:val="Hyperlink"/>
        </w:rPr>
        <w:instrText xml:space="preserve"> PAGEREF _Toc256000012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sidRPr="0071237C">
        <w:rPr>
          <w:rStyle w:val="Hyperlink"/>
          <w:shd w:val="clear" w:color="auto" w:fill="FFFFFF"/>
        </w:rPr>
        <w:t>5</w:t>
      </w:r>
      <w:r w:rsidRPr="0071237C">
        <w:rPr>
          <w:rStyle w:val="Hyperlink"/>
          <w:rFonts w:hint="eastAsia"/>
          <w:shd w:val="clear" w:color="auto" w:fill="FFFFFF"/>
        </w:rPr>
        <w:t>.3 报告期末非标准化债权类资产信息</w:t>
      </w:r>
      <w:r>
        <w:rPr>
          <w:rStyle w:val="Hyperlink"/>
        </w:rPr>
        <w:tab/>
      </w:r>
      <w:r>
        <w:fldChar w:fldCharType="begin"/>
      </w:r>
      <w:r>
        <w:rPr>
          <w:rStyle w:val="Hyperlink"/>
        </w:rPr>
        <w:instrText xml:space="preserve"> PAGEREF _Toc256000013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4</w:t>
      </w:r>
      <w:r w:rsidRPr="0071237C">
        <w:rPr>
          <w:rStyle w:val="Hyperlink"/>
          <w:rFonts w:hint="eastAsia"/>
          <w:shd w:val="clear" w:color="auto" w:fill="FFFFFF"/>
        </w:rPr>
        <w:t xml:space="preserve"> 报告期</w:t>
      </w:r>
      <w:r w:rsidRPr="0071237C">
        <w:rPr>
          <w:rStyle w:val="Hyperlink"/>
          <w:shd w:val="clear" w:color="auto" w:fill="FFFFFF"/>
        </w:rPr>
        <w:t>内</w:t>
      </w:r>
      <w:r w:rsidRPr="0071237C">
        <w:rPr>
          <w:rStyle w:val="Hyperlink"/>
          <w:rFonts w:hint="eastAsia"/>
          <w:shd w:val="clear" w:color="auto" w:fill="FFFFFF"/>
        </w:rPr>
        <w:t>到期</w:t>
      </w:r>
      <w:r w:rsidRPr="0071237C">
        <w:rPr>
          <w:rStyle w:val="Hyperlink"/>
          <w:shd w:val="clear" w:color="auto" w:fill="FFFFFF"/>
        </w:rPr>
        <w:t>的</w:t>
      </w:r>
      <w:r w:rsidRPr="0071237C">
        <w:rPr>
          <w:rStyle w:val="Hyperlink"/>
          <w:rFonts w:hint="eastAsia"/>
          <w:shd w:val="clear" w:color="auto" w:fill="FFFFFF"/>
        </w:rPr>
        <w:t>非标准化</w:t>
      </w:r>
      <w:r w:rsidRPr="0071237C">
        <w:rPr>
          <w:rStyle w:val="Hyperlink"/>
          <w:shd w:val="clear" w:color="auto" w:fill="FFFFFF"/>
        </w:rPr>
        <w:t>债权类资产及收益情况</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5</w:t>
      </w:r>
      <w:r w:rsidRPr="0071237C">
        <w:rPr>
          <w:rStyle w:val="Hyperlink"/>
          <w:rFonts w:hint="eastAsia"/>
          <w:shd w:val="clear" w:color="auto" w:fill="FFFFFF"/>
        </w:rPr>
        <w:t xml:space="preserve"> 报告期末信贷资产收受益权资产信息</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sidRPr="00BB25DC">
        <w:rPr>
          <w:rStyle w:val="Hyperlink"/>
          <w:shd w:val="clear" w:color="auto" w:fill="FFFFFF"/>
        </w:rPr>
        <w:t>5</w:t>
      </w:r>
      <w:r w:rsidRPr="00BB25DC">
        <w:rPr>
          <w:rStyle w:val="Hyperlink"/>
          <w:rFonts w:hint="eastAsia"/>
          <w:shd w:val="clear" w:color="auto" w:fill="FFFFFF"/>
        </w:rPr>
        <w:t>.</w:t>
      </w:r>
      <w:r w:rsidRPr="00BB25DC">
        <w:rPr>
          <w:rStyle w:val="Hyperlink"/>
          <w:shd w:val="clear" w:color="auto" w:fill="FFFFFF"/>
        </w:rPr>
        <w:t>6</w:t>
      </w:r>
      <w:r w:rsidRPr="00BB25DC">
        <w:rPr>
          <w:rStyle w:val="Hyperlink"/>
          <w:rFonts w:hint="eastAsia"/>
          <w:shd w:val="clear" w:color="auto" w:fill="FFFFFF"/>
        </w:rPr>
        <w:t xml:space="preserve"> 报告</w:t>
      </w:r>
      <w:r w:rsidRPr="00BB25DC">
        <w:rPr>
          <w:rStyle w:val="Hyperlink"/>
          <w:shd w:val="clear" w:color="auto" w:fill="FFFFFF"/>
        </w:rPr>
        <w:t>期</w:t>
      </w:r>
      <w:r w:rsidRPr="00BB25DC">
        <w:rPr>
          <w:rStyle w:val="Hyperlink"/>
          <w:rFonts w:hint="eastAsia"/>
          <w:shd w:val="clear" w:color="auto" w:fill="FFFFFF"/>
        </w:rPr>
        <w:t>末商品及金融衍生</w:t>
      </w:r>
      <w:r w:rsidRPr="00BB25DC">
        <w:rPr>
          <w:rStyle w:val="Hyperlink"/>
          <w:rFonts w:hint="eastAsia"/>
          <w:shd w:val="clear" w:color="auto" w:fill="FFFFFF"/>
        </w:rPr>
        <w:t>品</w:t>
      </w:r>
      <w:r w:rsidRPr="00BB25DC">
        <w:rPr>
          <w:rStyle w:val="Hyperlink"/>
          <w:shd w:val="clear" w:color="auto" w:fill="FFFFFF"/>
        </w:rPr>
        <w:t>资产</w:t>
      </w:r>
      <w:r w:rsidRPr="00BB25DC">
        <w:rPr>
          <w:rStyle w:val="Hyperlink"/>
          <w:rFonts w:hint="eastAsia"/>
          <w:shd w:val="clear" w:color="auto" w:fill="FFFFFF"/>
        </w:rPr>
        <w:t>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"_Toc256000017" </w:instrText>
      </w:r>
      <w:r>
        <w:fldChar w:fldCharType="separate"/>
      </w:r>
      <w:r w:rsidRPr="009A2C14">
        <w:rPr>
          <w:rStyle w:val="Hyperlink"/>
          <w:rFonts w:ascii="宋体" w:hAnsi="宋体" w:hint="eastAsia"/>
          <w:shd w:val="clear" w:color="auto" w:fill="FFFFFF"/>
        </w:rPr>
        <w:t>§</w:t>
      </w:r>
      <w:r w:rsidRPr="009A2C14">
        <w:rPr>
          <w:rStyle w:val="Hyperlink"/>
          <w:rFonts w:ascii="宋体" w:hAnsi="宋体"/>
          <w:shd w:val="clear" w:color="auto" w:fill="FFFFFF"/>
        </w:rPr>
        <w:t>6</w:t>
      </w:r>
      <w:r w:rsidRPr="009A2C14">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_Toc256000017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sidRPr="009A2C14">
        <w:rPr>
          <w:rStyle w:val="Hyperlink"/>
          <w:shd w:val="clear" w:color="auto" w:fill="FFFFFF"/>
        </w:rPr>
        <w:t>6</w:t>
      </w:r>
      <w:r w:rsidRPr="009A2C14">
        <w:rPr>
          <w:rStyle w:val="Hyperlink"/>
          <w:rFonts w:hint="eastAsia"/>
          <w:shd w:val="clear" w:color="auto" w:fill="FFFFFF"/>
        </w:rPr>
        <w:t>.1 托管人报告</w:t>
      </w:r>
      <w:r>
        <w:rPr>
          <w:rStyle w:val="Hyperlink"/>
        </w:rPr>
        <w:tab/>
      </w:r>
      <w:r>
        <w:fldChar w:fldCharType="begin"/>
      </w:r>
      <w:r>
        <w:rPr>
          <w:rStyle w:val="Hyperlink"/>
        </w:rPr>
        <w:instrText xml:space="preserve"> PAGEREF _Toc256000018 \h </w:instrText>
      </w:r>
      <w:r>
        <w:fldChar w:fldCharType="separate"/>
      </w:r>
      <w:r>
        <w:rPr>
          <w:rStyle w:val="Hyperlink"/>
        </w:rPr>
        <w:t>8</w:t>
      </w:r>
      <w:r>
        <w:fldChar w:fldCharType="end"/>
      </w:r>
      <w:r>
        <w:fldChar w:fldCharType="end"/>
      </w:r>
    </w:p>
    <w:p w:rsidP="00120F3B">
      <w:r>
        <w:fldChar w:fldCharType="end"/>
      </w:r>
    </w:p>
    <w:p w:rsidR="00120F3B" w:rsidP="00E50D4A">
      <w:pPr>
        <w:widowControl/>
        <w:jc w:val="left"/>
        <w:rPr>
          <w:shd w:val="clear" w:color="auto" w:fill="FFFFFF"/>
        </w:rPr>
      </w:pPr>
      <w:r>
        <w:rPr>
          <w:shd w:val="clear" w:color="auto" w:fill="FFFFFF"/>
        </w:rPr>
        <w:br w:type="page"/>
      </w:r>
    </w:p>
    <w:p w:rsidR="00380479" w:rsidRPr="00A642F9" w:rsidP="00F57231">
      <w:pPr>
        <w:pStyle w:val="Heading1"/>
        <w:spacing w:line="360" w:lineRule="auto"/>
        <w:jc w:val="center"/>
        <w:rPr>
          <w:rFonts w:ascii="宋体" w:hAnsi="宋体"/>
          <w:sz w:val="24"/>
          <w:szCs w:val="24"/>
          <w:shd w:val="clear" w:color="auto" w:fill="FFFFFF"/>
        </w:rPr>
      </w:pPr>
      <w:bookmarkStart w:id="0" w:name="_Toc256000000"/>
      <w:r w:rsidRPr="00A642F9">
        <w:rPr>
          <w:rFonts w:ascii="宋体" w:hAnsi="宋体" w:hint="eastAsia"/>
          <w:sz w:val="24"/>
          <w:szCs w:val="24"/>
          <w:shd w:val="clear" w:color="auto" w:fill="FFFFFF"/>
        </w:rPr>
        <w:t>§1 重要提示</w:t>
      </w:r>
      <w:bookmarkEnd w:id="0"/>
    </w:p>
    <w:p w:rsidR="00380479" w:rsidRPr="00A642F9" w:rsidP="00A642F9">
      <w:pPr>
        <w:pStyle w:val="Heading2"/>
        <w:rPr>
          <w:sz w:val="24"/>
          <w:szCs w:val="24"/>
          <w:shd w:val="clear" w:color="auto" w:fill="FFFFFF"/>
        </w:rPr>
      </w:pPr>
      <w:bookmarkStart w:id="1" w:name="_Toc256000001"/>
      <w:r w:rsidRPr="00A642F9">
        <w:rPr>
          <w:rFonts w:hint="eastAsia"/>
          <w:sz w:val="24"/>
          <w:szCs w:val="24"/>
          <w:shd w:val="clear" w:color="auto" w:fill="FFFFFF"/>
        </w:rPr>
        <w:t>1.1 重要提示</w:t>
      </w:r>
      <w:bookmarkEnd w:id="1"/>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招银理财招睿丰和（信用精选）360天持有期1号固定收益类理财计划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491CFA" w:rsidRPr="00491CFA" w:rsidP="00491CFA">
            <w:pPr>
              <w:numPr>
                <w:ilvl w:val="0"/>
                <w:numId w:val="4"/>
              </w:numPr>
              <w:rPr>
                <w:rFonts w:ascii="仿宋" w:eastAsia="仿宋" w:hAnsi="仿宋"/>
                <w:shd w:val="clear" w:color="auto" w:fill="FFFFFF"/>
              </w:rPr>
            </w:pPr>
            <w:r w:rsidRPr="00491CFA">
              <w:rPr>
                <w:rFonts w:ascii="仿宋" w:eastAsia="仿宋" w:hAnsi="仿宋"/>
                <w:shd w:val="clear" w:color="auto" w:fill="FFFFFF"/>
              </w:rPr>
              <w:t>本产品为净值型产品，业绩表现将随市场波动，具有不确定性</w:t>
            </w:r>
            <w:r w:rsidRPr="00491CFA">
              <w:rPr>
                <w:rFonts w:ascii="仿宋" w:eastAsia="仿宋" w:hAnsi="仿宋" w:hint="eastAsia"/>
                <w:shd w:val="clear" w:color="auto" w:fill="FFFFFF"/>
              </w:rPr>
              <w:t>，</w:t>
            </w:r>
            <w:r w:rsidRPr="00EF0D0E">
              <w:rPr>
                <w:rFonts w:ascii="仿宋" w:eastAsia="仿宋" w:hAnsi="仿宋"/>
                <w:b/>
                <w:bCs/>
                <w:shd w:val="clear" w:color="auto" w:fill="FFFFFF"/>
              </w:rPr>
              <w:t>理财产品过往业绩并不代表其未来表现，不等于理财产品实际收益。</w:t>
            </w:r>
            <w:r w:rsidRPr="00491CFA">
              <w:rPr>
                <w:rFonts w:ascii="仿宋" w:eastAsia="仿宋" w:hAnsi="仿宋" w:hint="eastAsia"/>
                <w:b/>
                <w:shd w:val="clear" w:color="auto" w:fill="FFFFFF"/>
              </w:rPr>
              <w:t>理财非存款、产品有风险、投资须谨慎</w:t>
            </w:r>
            <w:r w:rsidRPr="00491CFA">
              <w:rPr>
                <w:rFonts w:ascii="仿宋" w:eastAsia="仿宋" w:hAnsi="仿宋"/>
                <w:shd w:val="clear" w:color="auto" w:fill="FFFFFF"/>
              </w:rPr>
              <w:t>，投资者在作出投资决策前应仔细阅读本理财产品的</w:t>
            </w:r>
            <w:r w:rsidRPr="00491CFA">
              <w:rPr>
                <w:rFonts w:ascii="仿宋" w:eastAsia="仿宋" w:hAnsi="仿宋" w:hint="eastAsia"/>
                <w:shd w:val="clear" w:color="auto" w:fill="FFFFFF"/>
              </w:rPr>
              <w:t>销售文件</w:t>
            </w:r>
            <w:r w:rsidRPr="00491CFA">
              <w:rPr>
                <w:rFonts w:ascii="仿宋" w:eastAsia="仿宋" w:hAnsi="仿宋"/>
                <w:shd w:val="clear" w:color="auto" w:fill="FFFFFF"/>
              </w:rPr>
              <w:t>。</w:t>
            </w:r>
          </w:p>
          <w:p w:rsidR="00491CFA" w:rsidRPr="00B6408A" w:rsidP="00B6408A">
            <w:pPr>
              <w:jc w:val="left"/>
              <w:rPr>
                <w:rFonts w:ascii="仿宋" w:eastAsia="仿宋" w:hAnsi="仿宋"/>
                <w:shd w:val="clear" w:color="auto" w:fill="FFFFFF"/>
              </w:rPr>
            </w:pPr>
            <w:r>
              <w:rPr>
                <w:rFonts w:ascii="仿宋" w:eastAsia="仿宋" w:hAnsi="仿宋" w:cs="仿宋"/>
                <w:b w:val="0"/>
                <w:i w:val="0"/>
                <w:color w:val="000000"/>
                <w:position w:val="-1"/>
                <w:u w:val="none"/>
              </w:rPr>
              <w:t>4、 本报告披露的资产净值及份额净值经过德勤华永会计师事务所(特殊普通合伙)审计确认。</w:t>
            </w:r>
            <w:r>
              <w:br/>
            </w:r>
            <w:r>
              <w:rPr>
                <w:rFonts w:ascii="仿宋" w:eastAsia="仿宋" w:hAnsi="仿宋" w:cs="仿宋"/>
                <w:b w:val="0"/>
                <w:i w:val="0"/>
                <w:color w:val="000000"/>
                <w:position w:val="-1"/>
                <w:u w:val="none"/>
              </w:rPr>
              <w:t>5、 本报告期自2024年06月20日起至2024年12月31日止。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380479" w:rsidRPr="00A642F9" w:rsidP="00F57231">
      <w:pPr>
        <w:pStyle w:val="Heading1"/>
        <w:spacing w:line="360" w:lineRule="auto"/>
        <w:jc w:val="center"/>
        <w:rPr>
          <w:rFonts w:ascii="宋体" w:hAnsi="宋体"/>
          <w:sz w:val="24"/>
          <w:szCs w:val="24"/>
          <w:shd w:val="clear" w:color="auto" w:fill="FFFFFF"/>
        </w:rPr>
      </w:pPr>
      <w:bookmarkStart w:id="2" w:name="_Toc256000002"/>
      <w:r w:rsidRPr="00A642F9">
        <w:rPr>
          <w:rFonts w:ascii="宋体" w:hAnsi="宋体" w:hint="eastAsia"/>
          <w:sz w:val="24"/>
          <w:szCs w:val="24"/>
          <w:shd w:val="clear" w:color="auto" w:fill="FFFFFF"/>
        </w:rPr>
        <w:t>§2 理财产品简介</w:t>
      </w:r>
      <w:bookmarkEnd w:id="2"/>
    </w:p>
    <w:p w:rsidR="00380479" w:rsidRPr="00A642F9" w:rsidP="00A642F9">
      <w:pPr>
        <w:pStyle w:val="Heading2"/>
        <w:rPr>
          <w:sz w:val="24"/>
          <w:szCs w:val="24"/>
          <w:shd w:val="clear" w:color="auto" w:fill="FFFFFF"/>
        </w:rPr>
      </w:pPr>
      <w:bookmarkStart w:id="3" w:name="_Toc256000003"/>
      <w:r w:rsidRPr="00A642F9">
        <w:rPr>
          <w:rFonts w:hint="eastAsia"/>
          <w:sz w:val="24"/>
          <w:szCs w:val="24"/>
          <w:shd w:val="clear" w:color="auto" w:fill="FFFFFF"/>
        </w:rPr>
        <w:t>2.1 理财产品基本情况</w:t>
      </w:r>
      <w:bookmarkEnd w:id="3"/>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8"/>
        <w:gridCol w:w="6092"/>
      </w:tblGrid>
      <w:tr w:rsidTr="0090587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sidR="00536C4E">
              <w:rPr>
                <w:rFonts w:ascii="宋体" w:hAnsi="宋体" w:hint="eastAsia"/>
                <w:szCs w:val="21"/>
                <w:shd w:val="clear" w:color="auto" w:fill="FFFFFF"/>
              </w:rPr>
              <w:t>产品</w:t>
            </w:r>
            <w:r>
              <w:rPr>
                <w:rFonts w:ascii="宋体" w:hAnsi="宋体" w:hint="eastAsia"/>
                <w:szCs w:val="21"/>
                <w:shd w:val="clear" w:color="auto" w:fill="FFFFFF"/>
              </w:rPr>
              <w:t>代码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107552</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名</w:t>
            </w:r>
            <w:r w:rsidRPr="004C7F8B">
              <w:rPr>
                <w:rFonts w:ascii="宋体" w:hAnsi="宋体" w:hint="eastAsia"/>
                <w:szCs w:val="21"/>
                <w:shd w:val="clear" w:color="auto" w:fill="FFFFFF"/>
              </w:rPr>
              <w:t>称</w:t>
            </w:r>
          </w:p>
        </w:tc>
        <w:tc>
          <w:tcPr>
            <w:tcW w:w="3362" w:type="pct"/>
            <w:shd w:val="clear" w:color="auto" w:fill="auto"/>
          </w:tcPr>
          <w:p w:rsidR="008D77ED" w:rsidRPr="004C7F8B" w:rsidP="00090C9E">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招银理财招睿丰和（信用精选）360天持有期1号固定收益类理财计划</w:t>
            </w:r>
          </w:p>
        </w:tc>
      </w:tr>
      <w:tr w:rsidTr="00905872">
        <w:tblPrEx>
          <w:tblW w:w="5000" w:type="pct"/>
          <w:tblLook w:val="0000"/>
        </w:tblPrEx>
        <w:trPr>
          <w:trHeight w:val="259"/>
        </w:trPr>
        <w:tc>
          <w:tcPr>
            <w:tcW w:w="1638" w:type="pct"/>
            <w:shd w:val="clear" w:color="auto" w:fill="auto"/>
            <w:vAlign w:val="center"/>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登记编码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Z7001624000545</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w:t>
            </w:r>
            <w:r w:rsidRPr="004C7F8B">
              <w:rPr>
                <w:rFonts w:ascii="宋体" w:hAnsi="宋体"/>
                <w:szCs w:val="21"/>
                <w:shd w:val="clear" w:color="auto" w:fill="FFFFFF"/>
              </w:rPr>
              <w:t>投资</w:t>
            </w:r>
            <w:r w:rsidRPr="004C7F8B">
              <w:rPr>
                <w:rFonts w:ascii="宋体" w:hAnsi="宋体" w:hint="eastAsia"/>
                <w:szCs w:val="21"/>
                <w:shd w:val="clear" w:color="auto" w:fill="FFFFFF"/>
              </w:rPr>
              <w:t>类型</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产品募集</w:t>
            </w:r>
            <w:r w:rsidRPr="004C7F8B">
              <w:rPr>
                <w:rFonts w:ascii="宋体" w:hAnsi="宋体"/>
                <w:szCs w:val="21"/>
                <w:shd w:val="clear" w:color="auto" w:fill="FFFFFF"/>
              </w:rPr>
              <w:t>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理财产品运作方式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17552K：业绩比较基准上限为3.50%，下限为2.00%;（本产品为净值型产品，业绩表现将随市场波动，具有不确定性。）</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比较基准测算说明</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以产品投资固定收益类资产不低于80%，根据当前市场环境下大类资产合意配置比例及大类资产收益情况，考虑杠杆和费率等因素，并结合产品投资策略，确定本理财产品业绩比较基准。</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color w:val="000000"/>
                <w:szCs w:val="21"/>
                <w:shd w:val="clear" w:color="auto" w:fill="FFFFFF"/>
              </w:rPr>
              <w:t>产品风险</w:t>
            </w:r>
            <w:r w:rsidRPr="004C7F8B">
              <w:rPr>
                <w:rFonts w:ascii="宋体" w:hAnsi="宋体"/>
                <w:color w:val="000000"/>
                <w:szCs w:val="21"/>
                <w:shd w:val="clear" w:color="auto" w:fill="FFFFFF"/>
              </w:rPr>
              <w:t>评级</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905872">
        <w:tblPrEx>
          <w:tblW w:w="5000" w:type="pct"/>
          <w:tblLook w:val="0000"/>
        </w:tblPrEx>
        <w:tc>
          <w:tcPr>
            <w:tcW w:w="1638" w:type="pct"/>
            <w:shd w:val="clear" w:color="auto" w:fill="auto"/>
          </w:tcPr>
          <w:p w:rsidR="008D77ED" w:rsidRPr="004C7F8B" w:rsidP="00090C9E">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362" w:type="pct"/>
            <w:shd w:val="clear" w:color="auto" w:fill="auto"/>
          </w:tcPr>
          <w:p w:rsidR="008D77ED" w:rsidRPr="004C7F8B" w:rsidP="00090C9E">
            <w:pPr>
              <w:rPr>
                <w:rFonts w:ascii="宋体" w:hAnsi="宋体"/>
                <w:kern w:val="0"/>
                <w:szCs w:val="21"/>
                <w:shd w:val="clear" w:color="auto" w:fill="FFFFFF"/>
              </w:rPr>
            </w:pPr>
            <w:r w:rsidRPr="001A7042">
              <w:rPr>
                <w:rFonts w:ascii="宋体" w:hAnsi="宋体"/>
                <w:kern w:val="0"/>
                <w:szCs w:val="21"/>
                <w:shd w:val="clear" w:color="auto" w:fill="FFFFFF"/>
              </w:rPr>
              <w:t>符合监管或产品协议要求</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报告</w:t>
            </w:r>
            <w:r>
              <w:rPr>
                <w:rFonts w:ascii="宋体" w:hAnsi="宋体" w:hint="eastAsia"/>
                <w:color w:val="000000"/>
                <w:szCs w:val="21"/>
                <w:shd w:val="clear" w:color="auto" w:fill="FFFFFF"/>
              </w:rPr>
              <w:t>期末理财产品份额总额</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22,787,139.94</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理财产品成立</w:t>
            </w:r>
            <w:r w:rsidRPr="004C7F8B">
              <w:rPr>
                <w:rFonts w:ascii="宋体" w:hAnsi="宋体" w:hint="eastAsia"/>
                <w:color w:val="000000"/>
                <w:szCs w:val="21"/>
                <w:shd w:val="clear" w:color="auto" w:fill="FFFFFF"/>
              </w:rPr>
              <w:t>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2024年06月20日</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理财产品计划</w:t>
            </w:r>
            <w:r w:rsidRPr="004C7F8B">
              <w:rPr>
                <w:rFonts w:ascii="宋体" w:hAnsi="宋体" w:hint="eastAsia"/>
                <w:color w:val="000000"/>
                <w:szCs w:val="21"/>
                <w:shd w:val="clear" w:color="auto" w:fill="FFFFFF"/>
              </w:rPr>
              <w:t>到期日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2034年06月20日（如遇非交易日顺延至下一交易日，或在理财计划存续期内理财产品管理人根据本产品说明书约定事由宣布提前或延期终止本理财计划之日。）</w:t>
            </w:r>
          </w:p>
        </w:tc>
      </w:tr>
    </w:tbl>
    <w:p w:rsidR="008A10D2" w:rsidRPr="008A10D2" w:rsidP="008A10D2">
      <w:pPr>
        <w:rPr>
          <w:rFonts w:ascii="宋体" w:hAnsi="宋体"/>
          <w:szCs w:val="21"/>
          <w:shd w:val="clear" w:color="auto" w:fill="FFFFFF"/>
        </w:rPr>
      </w:pPr>
      <w:r>
        <w:rPr>
          <w:rFonts w:ascii="宋体" w:hAnsi="宋体" w:hint="eastAsia"/>
          <w:szCs w:val="21"/>
          <w:shd w:val="clear" w:color="auto" w:fill="FFFFFF"/>
        </w:rPr>
        <w:t>注：</w:t>
      </w:r>
      <w:r w:rsidRPr="008A10D2">
        <w:rPr>
          <w:rFonts w:ascii="宋体" w:hAnsi="宋体" w:hint="eastAsia"/>
          <w:szCs w:val="21"/>
          <w:shd w:val="clear" w:color="auto" w:fill="FFFFFF"/>
        </w:rPr>
        <w:t>业绩比较基准是本机构基于产品性质、投资策略、过往经验等因素对产品设定的投资目标，不代表产品的未来表现和实际收益，不构成对产品收益的承诺。投资者不应将业绩比较基准作为持有本理财计划份额到期的综合投资收益参考值。</w:t>
      </w:r>
    </w:p>
    <w:p w:rsidR="00380479" w:rsidRPr="00A642F9">
      <w:pPr>
        <w:pStyle w:val="Heading1"/>
        <w:jc w:val="center"/>
        <w:rPr>
          <w:rFonts w:ascii="宋体" w:hAnsi="宋体"/>
          <w:sz w:val="24"/>
          <w:szCs w:val="24"/>
          <w:shd w:val="clear" w:color="auto" w:fill="FFFFFF"/>
        </w:rPr>
      </w:pPr>
      <w:bookmarkStart w:id="4" w:name="_Toc256000004"/>
      <w:r w:rsidRPr="00A642F9">
        <w:rPr>
          <w:rFonts w:ascii="宋体" w:hAnsi="宋体" w:hint="eastAsia"/>
          <w:sz w:val="24"/>
          <w:szCs w:val="24"/>
          <w:shd w:val="clear" w:color="auto" w:fill="FFFFFF"/>
        </w:rPr>
        <w:t>§3 理财产品净值表现</w:t>
      </w:r>
      <w:bookmarkEnd w:id="4"/>
    </w:p>
    <w:p w:rsidR="00380479" w:rsidRPr="00A642F9" w:rsidP="003F7FB0">
      <w:pPr>
        <w:pStyle w:val="Heading2"/>
        <w:rPr>
          <w:sz w:val="24"/>
          <w:szCs w:val="24"/>
          <w:shd w:val="clear" w:color="auto" w:fill="FFFFFF"/>
        </w:rPr>
      </w:pPr>
      <w:bookmarkStart w:id="5" w:name="_Toc256000005"/>
      <w:r w:rsidRPr="00A642F9">
        <w:rPr>
          <w:rFonts w:hint="eastAsia"/>
          <w:sz w:val="24"/>
          <w:szCs w:val="24"/>
          <w:shd w:val="clear" w:color="auto" w:fill="FFFFFF"/>
        </w:rPr>
        <w:t>3.1 截至报告期末产品资产净值及份额净值</w:t>
      </w:r>
      <w:bookmarkEnd w:id="5"/>
    </w:p>
    <w:p w:rsidR="00055790" w:rsidP="00BF5002">
      <w:pPr>
        <w:adjustRightInd w:val="0"/>
        <w:snapToGrid w:val="0"/>
        <w:ind w:firstLine="420" w:firstLineChars="200"/>
        <w:rPr>
          <w:rFonts w:ascii="宋体" w:hAnsi="宋体"/>
          <w:sz w:val="24"/>
          <w:szCs w:val="24"/>
        </w:rPr>
      </w:pPr>
      <w:r w:rsidRPr="00D53094">
        <w:rPr>
          <w:rFonts w:ascii="宋体" w:hAnsi="宋体" w:hint="eastAsia"/>
          <w:sz w:val="24"/>
          <w:szCs w:val="24"/>
          <w:shd w:val="clear" w:color="auto" w:fill="FFFFFF"/>
        </w:rPr>
        <w:t>截至本报告期末，产品的资产净值为</w:t>
      </w:r>
      <w:r>
        <w:rPr>
          <w:rFonts w:ascii="宋体" w:eastAsia="宋体" w:hAnsi="宋体" w:cs="宋体"/>
          <w:b w:val="0"/>
          <w:i w:val="0"/>
          <w:color w:val="000000"/>
          <w:position w:val="-1"/>
          <w:sz w:val="24"/>
          <w:u w:val="none"/>
        </w:rPr>
        <w:t>23,611,404.07</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，产品份额净值为1.0362元，产品份额累计净值为1.0362元。</w:t>
      </w:r>
    </w:p>
    <w:p w:rsidR="008A10D2" w:rsidP="008A10D2">
      <w:pPr>
        <w:ind w:firstLine="420" w:firstLineChars="200"/>
        <w:rPr>
          <w:rFonts w:ascii="宋体" w:hAnsi="宋体"/>
          <w:szCs w:val="21"/>
          <w:shd w:val="clear" w:color="auto" w:fill="FFFFFF"/>
        </w:rPr>
      </w:pPr>
      <w:r w:rsidRPr="008A10D2">
        <w:rPr>
          <w:rFonts w:ascii="宋体" w:hAnsi="宋体" w:hint="eastAsia"/>
          <w:szCs w:val="21"/>
          <w:shd w:val="clear" w:color="auto" w:fill="FFFFFF"/>
        </w:rPr>
        <w:t>注：</w:t>
      </w:r>
    </w:p>
    <w:p w:rsidR="008A10D2" w:rsidRPr="008A10D2" w:rsidP="008A10D2">
      <w:pPr>
        <w:ind w:firstLine="420" w:firstLineChars="200"/>
        <w:rPr>
          <w:rFonts w:ascii="宋体" w:hAnsi="宋体"/>
          <w:szCs w:val="21"/>
          <w:shd w:val="clear" w:color="auto" w:fill="FFFFFF"/>
        </w:rPr>
      </w:pPr>
      <w:r>
        <w:rPr>
          <w:rFonts w:ascii="宋体" w:hAnsi="宋体"/>
          <w:szCs w:val="21"/>
          <w:shd w:val="clear" w:color="auto" w:fill="FFFFFF"/>
        </w:rPr>
        <w:t>1</w:t>
      </w:r>
      <w:r>
        <w:rPr>
          <w:rFonts w:ascii="宋体" w:hAnsi="宋体" w:hint="eastAsia"/>
          <w:szCs w:val="21"/>
          <w:shd w:val="clear" w:color="auto" w:fill="FFFFFF"/>
        </w:rPr>
        <w:t>.</w:t>
      </w:r>
      <w:r w:rsidRPr="008A10D2">
        <w:rPr>
          <w:rFonts w:ascii="宋体" w:hAnsi="宋体"/>
          <w:szCs w:val="21"/>
          <w:shd w:val="clear" w:color="auto" w:fill="FFFFFF"/>
        </w:rPr>
        <w:t>份额净值=资产净值/份额总额；份额累计净值=份额净值+产品成立后份额的累计分红金额。</w:t>
      </w:r>
    </w:p>
    <w:p w:rsidR="00491CFA" w:rsidRPr="00905D7C" w:rsidP="00905D7C">
      <w:pPr>
        <w:ind w:firstLine="420" w:firstLineChars="200"/>
        <w:rPr>
          <w:rFonts w:ascii="宋体" w:hAnsi="宋体"/>
          <w:szCs w:val="21"/>
          <w:shd w:val="clear" w:color="auto" w:fill="FFFFFF"/>
        </w:rPr>
      </w:pPr>
      <w:r>
        <w:rPr>
          <w:rFonts w:ascii="宋体" w:eastAsia="宋体" w:hAnsi="宋体" w:cs="宋体"/>
          <w:b w:val="0"/>
          <w:i w:val="0"/>
          <w:color w:val="000000"/>
          <w:position w:val="-1"/>
          <w:u w:val="none"/>
        </w:rPr>
        <w:t xml:space="preserve"> </w:t>
      </w:r>
    </w:p>
    <w:p w:rsidR="00380479" w:rsidRPr="00A642F9" w:rsidP="003F7FB0">
      <w:pPr>
        <w:pStyle w:val="Heading2"/>
        <w:rPr>
          <w:sz w:val="24"/>
          <w:szCs w:val="24"/>
          <w:shd w:val="clear" w:color="auto" w:fill="FFFFFF"/>
        </w:rPr>
      </w:pPr>
      <w:bookmarkStart w:id="6" w:name="_Toc256000006"/>
      <w:r w:rsidRPr="00A642F9">
        <w:rPr>
          <w:rFonts w:hint="eastAsia"/>
          <w:sz w:val="24"/>
          <w:szCs w:val="24"/>
          <w:shd w:val="clear" w:color="auto" w:fill="FFFFFF"/>
        </w:rPr>
        <w:t>3.2 理财产品年化收益率</w:t>
      </w:r>
      <w:bookmarkEnd w:id="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436AFF" w:rsidRPr="00661791" w:rsidP="00436AF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6.70%</w:t>
            </w:r>
          </w:p>
        </w:tc>
        <w:tc>
          <w:tcPr>
            <w:tcW w:w="993"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6.63%</w:t>
            </w:r>
          </w:p>
        </w:tc>
        <w:tc>
          <w:tcPr>
            <w:tcW w:w="850"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6.81%</w:t>
            </w:r>
          </w:p>
        </w:tc>
      </w:tr>
    </w:tbl>
    <w:p w:rsidR="00436AFF" w:rsidP="00436AFF">
      <w:r>
        <w:rPr>
          <w:rFonts w:hint="eastAsia"/>
        </w:rPr>
        <w:t>注：</w:t>
      </w:r>
    </w:p>
    <w:p w:rsidR="00436AFF" w:rsidP="00436AF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2024年06月20日</w:t>
      </w:r>
      <w:r>
        <w:rPr>
          <w:rFonts w:ascii="宋体" w:hAnsi="宋体" w:cs="宋体" w:hint="eastAsia"/>
        </w:rPr>
        <w:t>，数据截至</w:t>
      </w:r>
      <w:r>
        <w:rPr>
          <w:rFonts w:ascii="宋体" w:eastAsia="宋体" w:hAnsi="宋体" w:cs="宋体"/>
          <w:b w:val="0"/>
          <w:i w:val="0"/>
          <w:color w:val="000000"/>
          <w:position w:val="-1"/>
          <w:u w:val="none"/>
        </w:rPr>
        <w:t>2024年12月31日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6F79C0" w:rsidP="006F79C0">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6F79C0" w:rsidP="006F79C0">
      <w:pPr>
        <w:rPr>
          <w:rFonts w:hAnsi="Cambria Math"/>
          <w:sz w:val="24"/>
        </w:rPr>
      </w:pPr>
      <w:r>
        <w:rPr>
          <w:rFonts w:ascii="宋体" w:hAnsi="宋体" w:cs="宋体" w:hint="eastAsia"/>
          <w:szCs w:val="21"/>
          <w:shd w:val="clear" w:color="auto" w:fill="FFFFFF"/>
        </w:rPr>
        <w:t>t1为区间最后一个自然日，t2为N月前的最后一个自然日。</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6F79C0" w:rsidP="006F79C0">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6F79C0" w:rsidP="006F79C0">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6F79C0" w:rsidP="006F79C0">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A919F3" w:rsidRPr="00567D1D" w:rsidP="006F79C0">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380479" w:rsidRPr="00A642F9">
      <w:pPr>
        <w:pStyle w:val="Heading1"/>
        <w:jc w:val="center"/>
        <w:rPr>
          <w:rFonts w:ascii="宋体" w:hAnsi="宋体"/>
          <w:sz w:val="24"/>
          <w:szCs w:val="24"/>
          <w:shd w:val="clear" w:color="auto" w:fill="FFFFFF"/>
        </w:rPr>
      </w:pPr>
      <w:bookmarkStart w:id="7" w:name="_Toc256000007"/>
      <w:r w:rsidRPr="00A642F9">
        <w:rPr>
          <w:rFonts w:ascii="宋体" w:hAnsi="宋体" w:hint="eastAsia"/>
          <w:sz w:val="24"/>
          <w:szCs w:val="24"/>
          <w:shd w:val="clear" w:color="auto" w:fill="FFFFFF"/>
        </w:rPr>
        <w:t>§4 管理人报告</w:t>
      </w:r>
      <w:bookmarkEnd w:id="7"/>
    </w:p>
    <w:p w:rsidR="00380479" w:rsidRPr="00A642F9" w:rsidP="003F7FB0">
      <w:pPr>
        <w:pStyle w:val="Heading2"/>
        <w:rPr>
          <w:sz w:val="24"/>
          <w:szCs w:val="24"/>
          <w:shd w:val="clear" w:color="auto" w:fill="FFFFFF"/>
        </w:rPr>
      </w:pPr>
      <w:bookmarkStart w:id="8" w:name="_Toc256000008"/>
      <w:r w:rsidRPr="00A642F9">
        <w:rPr>
          <w:rFonts w:hint="eastAsia"/>
          <w:sz w:val="24"/>
          <w:szCs w:val="24"/>
          <w:shd w:val="clear" w:color="auto" w:fill="FFFFFF"/>
        </w:rPr>
        <w:t>4.1 管理人对报告期内理财产品的投资策略说明</w:t>
      </w:r>
      <w:bookmarkEnd w:id="8"/>
    </w:p>
    <w:p w:rsidR="00F6717A" w:rsidRPr="00A642F9" w:rsidP="00F6717A">
      <w:pPr>
        <w:pStyle w:val="Heading3"/>
        <w:rPr>
          <w:sz w:val="24"/>
          <w:szCs w:val="24"/>
          <w:shd w:val="clear" w:color="auto" w:fill="FFFFFF"/>
        </w:rPr>
      </w:pPr>
      <w:r w:rsidRPr="00A642F9">
        <w:rPr>
          <w:rFonts w:hint="eastAsia"/>
          <w:sz w:val="24"/>
          <w:szCs w:val="24"/>
          <w:shd w:val="clear" w:color="auto" w:fill="FFFFFF"/>
        </w:rPr>
        <w:t>4.1.1 报告期内理财产品投资策略和运作分析</w:t>
      </w:r>
    </w:p>
    <w:p w:rsidR="002E5860" w:rsidP="0002334A">
      <w:pPr>
        <w:ind w:firstLine="420" w:firstLineChars="200"/>
        <w:rPr>
          <w:rFonts w:ascii="宋体" w:hAnsi="宋体"/>
          <w:sz w:val="24"/>
          <w:szCs w:val="24"/>
          <w:shd w:val="clear" w:color="auto" w:fill="FFFFFF"/>
        </w:rPr>
      </w:pPr>
      <w:bookmarkStart w:id="9" w:name="运作分析"/>
      <w:r>
        <w:rPr>
          <w:rFonts w:ascii="宋体" w:hAnsi="宋体"/>
          <w:sz w:val="24"/>
          <w:szCs w:val="24"/>
          <w:shd w:val="clear" w:color="auto" w:fill="FFFFFF"/>
        </w:rPr>
        <w:t>回顾市场，2024年四季度，受益于货币政策的利好以及市场多头情绪的强化，债券收益率整体大幅下行。10月前期权益市场重回3000点，“股债跷跷板”效益对债市造成影响，收益率区间震荡；随后央行宣布调降LPR，以及多项重要会议陆续召开，市场对货币政策的预期较前期更乐观，交投情绪不断走高，市场开启“抢跑”行情，10年期国债利率迅速下行，年底突破1.7%的历史低位。全年来看，有多项因素共同推动了债券收益率的下行，如在政府化债背景下的信用债净融资收紧、监管对资金空转套利的打击、地产销售数据的不断探底等，而对债市不利的因素主要是财政政策的超预期，从结果来看多头占优，市场交投情绪愈到年底则愈发活跃，长债利率达到历史新低。</w:t>
      </w:r>
      <w:bookmarkEnd w:id="9"/>
    </w:p>
    <w:p w:rsidR="00F6717A" w:rsidRPr="0002334A" w:rsidP="0002334A">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F6717A" w:rsidP="00F6717A">
      <w:pPr>
        <w:ind w:firstLine="420" w:firstLineChars="200"/>
        <w:rPr>
          <w:rFonts w:ascii="宋体" w:hAnsi="宋体"/>
          <w:b/>
          <w:sz w:val="24"/>
          <w:shd w:val="clear" w:color="auto" w:fill="FFFFFF"/>
        </w:rPr>
      </w:pPr>
      <w:r w:rsidRPr="00B63470">
        <w:rPr>
          <w:rFonts w:ascii="宋体" w:hAnsi="宋体" w:hint="eastAsia"/>
          <w:b/>
          <w:sz w:val="24"/>
          <w:shd w:val="clear" w:color="auto" w:fill="FFFFFF"/>
        </w:rPr>
        <w:t>附:与</w:t>
      </w:r>
      <w:r w:rsidRPr="00B63470">
        <w:rPr>
          <w:rFonts w:ascii="宋体" w:hAnsi="宋体"/>
          <w:b/>
          <w:sz w:val="24"/>
          <w:shd w:val="clear" w:color="auto" w:fill="FFFFFF"/>
        </w:rPr>
        <w:t>私募</w:t>
      </w:r>
      <w:r w:rsidRPr="00B63470">
        <w:rPr>
          <w:rFonts w:ascii="宋体" w:hAnsi="宋体" w:hint="eastAsia"/>
          <w:b/>
          <w:sz w:val="24"/>
          <w:shd w:val="clear" w:color="auto" w:fill="FFFFFF"/>
        </w:rPr>
        <w:t>合作机构</w:t>
      </w:r>
      <w:r w:rsidRPr="00B63470">
        <w:rPr>
          <w:rFonts w:ascii="宋体" w:hAnsi="宋体"/>
          <w:b/>
          <w:sz w:val="24"/>
          <w:shd w:val="clear" w:color="auto" w:fill="FFFFFF"/>
        </w:rPr>
        <w:t>合作情况</w:t>
      </w:r>
    </w:p>
    <w:tbl>
      <w:tblPr>
        <w:tblStyle w:val="TableGrid"/>
        <w:tblW w:w="0" w:type="auto"/>
        <w:tblLook w:val="04A0"/>
      </w:tblPr>
      <w:tblGrid>
        <w:gridCol w:w="3823"/>
        <w:gridCol w:w="4110"/>
      </w:tblGrid>
      <w:tr w:rsidTr="00A642F9">
        <w:tblPrEx>
          <w:tblW w:w="0" w:type="auto"/>
          <w:tblLook w:val="04A0"/>
        </w:tblPrEx>
        <w:tc>
          <w:tcPr>
            <w:tcW w:w="3823"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私募合作机构</w:t>
            </w:r>
          </w:p>
        </w:tc>
        <w:tc>
          <w:tcPr>
            <w:tcW w:w="4110"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合作模式</w:t>
            </w:r>
          </w:p>
        </w:tc>
      </w:tr>
      <w:tr w:rsidTr="005D68AD">
        <w:tblPrEx>
          <w:tblW w:w="0" w:type="auto"/>
          <w:tblLook w:val="04A0"/>
        </w:tblPrEx>
        <w:tc>
          <w:tcPr>
            <w:tcW w:w="3823" w:type="dxa"/>
          </w:tcPr>
          <w:p>
            <w:pPr>
              <w:ind w:left="-1" w:right="-1"/>
              <w:jc w:val="center"/>
            </w:pPr>
            <w:r>
              <w:rPr>
                <w:rFonts w:ascii="宋体" w:eastAsia="宋体" w:hAnsi="宋体" w:cs="宋体"/>
                <w:b w:val="0"/>
                <w:i w:val="0"/>
                <w:color w:val="000000"/>
                <w:spacing w:val="0"/>
                <w:position w:val="-1"/>
                <w:sz w:val="24"/>
                <w:u w:val="none"/>
                <w:vertAlign w:val="baseline"/>
              </w:rPr>
              <w:t>-</w:t>
            </w:r>
          </w:p>
        </w:tc>
        <w:tc>
          <w:tcPr>
            <w:tcW w:w="4110" w:type="dxa"/>
          </w:tcPr>
          <w:p>
            <w:pPr>
              <w:ind w:left="-1" w:right="-1"/>
              <w:jc w:val="center"/>
            </w:pPr>
            <w:r>
              <w:rPr>
                <w:rFonts w:ascii="宋体" w:eastAsia="宋体" w:hAnsi="宋体" w:cs="宋体"/>
                <w:b w:val="0"/>
                <w:i w:val="0"/>
                <w:color w:val="000000"/>
                <w:spacing w:val="0"/>
                <w:position w:val="-1"/>
                <w:sz w:val="24"/>
                <w:u w:val="none"/>
                <w:vertAlign w:val="baseline"/>
              </w:rPr>
              <w:t>-</w:t>
            </w:r>
          </w:p>
        </w:tc>
      </w:tr>
    </w:tbl>
    <w:p w:rsidR="008D77ED"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2</w:t>
      </w:r>
      <w:r w:rsidRPr="0071237C">
        <w:rPr>
          <w:rFonts w:hint="eastAsia"/>
          <w:sz w:val="24"/>
          <w:szCs w:val="24"/>
          <w:shd w:val="clear" w:color="auto" w:fill="FFFFFF"/>
        </w:rPr>
        <w:t xml:space="preserve"> 报告期内理财产品流动性风险分析</w:t>
      </w:r>
    </w:p>
    <w:p w:rsidR="008D77ED" w:rsidRPr="008D77ED" w:rsidP="008D77ED">
      <w:pPr>
        <w:ind w:firstLine="420" w:firstLineChars="200"/>
        <w:rPr>
          <w:sz w:val="24"/>
          <w:shd w:val="clear" w:color="auto" w:fill="FFFFFF"/>
        </w:rPr>
      </w:pPr>
      <w:r w:rsidRPr="008D77ED">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8D77ED" w:rsidP="008D77ED">
      <w:pPr>
        <w:ind w:firstLine="420" w:firstLineChars="200"/>
        <w:rPr>
          <w:sz w:val="24"/>
          <w:shd w:val="clear" w:color="auto" w:fill="FFFFFF"/>
        </w:rPr>
      </w:pPr>
      <w:r w:rsidRPr="008D77ED">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8D77ED" w:rsidRPr="008D77ED" w:rsidP="008D77ED">
      <w:pPr>
        <w:rPr>
          <w:rFonts w:ascii="宋体" w:hAnsi="宋体"/>
          <w:szCs w:val="21"/>
          <w:shd w:val="clear" w:color="auto" w:fill="FFFFFF"/>
        </w:rPr>
      </w:pPr>
    </w:p>
    <w:p w:rsidR="00F6717A"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3</w:t>
      </w:r>
      <w:r w:rsidRPr="0071237C">
        <w:rPr>
          <w:rFonts w:hint="eastAsia"/>
          <w:sz w:val="24"/>
          <w:szCs w:val="24"/>
          <w:shd w:val="clear" w:color="auto" w:fill="FFFFFF"/>
        </w:rPr>
        <w:t xml:space="preserve"> 管理人对未来的简要展望</w:t>
      </w:r>
    </w:p>
    <w:p w:rsidR="002E5860" w:rsidP="0002334A">
      <w:pPr>
        <w:ind w:firstLine="420" w:firstLineChars="200"/>
        <w:rPr>
          <w:rFonts w:ascii="宋体" w:hAnsi="宋体"/>
          <w:sz w:val="24"/>
          <w:szCs w:val="24"/>
          <w:shd w:val="clear" w:color="auto" w:fill="FFFFFF"/>
        </w:rPr>
      </w:pPr>
      <w:bookmarkStart w:id="10" w:name="简要展望"/>
      <w:r>
        <w:rPr>
          <w:rFonts w:ascii="宋体" w:hAnsi="宋体"/>
          <w:sz w:val="24"/>
          <w:szCs w:val="24"/>
          <w:shd w:val="clear" w:color="auto" w:fill="FFFFFF"/>
        </w:rPr>
        <w:t>产品报告期内整体运作稳健。债券配置方面，在市场收益率快速下行的过程中，产品积极调整资产配置结构，适度增加久期和杠杠，不仅把握住收益率下行的市场机会，也努力保持对回撤的控制和波动率的管控。后续产品将逐步采取防守策略，做好止盈，打造更平稳的产品净值体验。</w:t>
      </w:r>
      <w:bookmarkEnd w:id="10"/>
    </w:p>
    <w:p w:rsidR="00380479" w:rsidRPr="0071237C" w:rsidP="0071237C">
      <w:pPr>
        <w:pStyle w:val="Heading2"/>
        <w:rPr>
          <w:sz w:val="24"/>
          <w:szCs w:val="24"/>
        </w:rPr>
      </w:pPr>
      <w:bookmarkStart w:id="11" w:name="_Toc256000009"/>
      <w:r w:rsidRPr="0071237C">
        <w:rPr>
          <w:rFonts w:hint="eastAsia"/>
          <w:sz w:val="24"/>
          <w:szCs w:val="24"/>
        </w:rPr>
        <w:t xml:space="preserve">4.2 </w:t>
      </w:r>
      <w:r w:rsidRPr="0071237C" w:rsidR="00364152">
        <w:rPr>
          <w:rFonts w:hint="eastAsia"/>
          <w:sz w:val="24"/>
          <w:szCs w:val="24"/>
        </w:rPr>
        <w:t>理财产品报告期内关联</w:t>
      </w:r>
      <w:r w:rsidRPr="0071237C">
        <w:rPr>
          <w:rFonts w:hint="eastAsia"/>
          <w:sz w:val="24"/>
          <w:szCs w:val="24"/>
        </w:rPr>
        <w:t>交易</w:t>
      </w:r>
      <w:r w:rsidRPr="0071237C" w:rsidR="005C0C96">
        <w:rPr>
          <w:rFonts w:hint="eastAsia"/>
          <w:sz w:val="24"/>
          <w:szCs w:val="24"/>
        </w:rPr>
        <w:t>发生</w:t>
      </w:r>
      <w:r w:rsidRPr="0071237C">
        <w:rPr>
          <w:rFonts w:hint="eastAsia"/>
          <w:sz w:val="24"/>
          <w:szCs w:val="24"/>
        </w:rPr>
        <w:t>情况</w:t>
      </w:r>
      <w:bookmarkEnd w:id="11"/>
    </w:p>
    <w:p>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1本产品投资于关联方发行的证券，投资金额总计</w:t>
      </w:r>
      <w:r>
        <w:rPr>
          <w:rStyle w:val="DefaultParagraphFont"/>
          <w:rFonts w:ascii="宋体" w:eastAsia="宋体" w:hAnsi="宋体" w:cs="宋体"/>
          <w:b w:val="0"/>
          <w:color w:val="000000"/>
          <w:sz w:val="24"/>
        </w:rPr>
        <w:t>0.00</w:t>
      </w:r>
      <w:r>
        <w:rPr>
          <w:rStyle w:val="DefaultParagraphFont"/>
          <w:rFonts w:ascii="宋体" w:hAnsi="宋体" w:hint="eastAsia"/>
          <w:sz w:val="24"/>
          <w:szCs w:val="24"/>
          <w:lang w:val="zh-CN"/>
        </w:rPr>
        <w:t>元；</w:t>
      </w:r>
    </w:p>
    <w:p>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2本产品投资于关联方承销的证券，投资金额总计</w:t>
      </w:r>
      <w:r>
        <w:rPr>
          <w:rStyle w:val="DefaultParagraphFont"/>
          <w:rFonts w:ascii="宋体" w:eastAsia="宋体" w:hAnsi="宋体" w:cs="宋体"/>
          <w:b w:val="0"/>
          <w:color w:val="000000"/>
          <w:sz w:val="24"/>
        </w:rPr>
        <w:t>0.00</w:t>
      </w:r>
      <w:r>
        <w:rPr>
          <w:rStyle w:val="DefaultParagraphFont"/>
          <w:rFonts w:ascii="宋体" w:hAnsi="宋体" w:hint="eastAsia"/>
          <w:sz w:val="24"/>
          <w:szCs w:val="24"/>
          <w:lang w:val="zh-CN"/>
        </w:rPr>
        <w:t>元；</w:t>
      </w:r>
    </w:p>
    <w:p>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sz w:val="24"/>
          <w:szCs w:val="24"/>
          <w:lang w:val="zh-CN"/>
        </w:rPr>
        <w:t>3</w:t>
      </w:r>
      <w:r>
        <w:rPr>
          <w:rStyle w:val="DefaultParagraphFont"/>
          <w:rFonts w:ascii="宋体" w:hAnsi="宋体" w:hint="eastAsia"/>
          <w:sz w:val="24"/>
          <w:szCs w:val="24"/>
          <w:lang w:val="zh-CN"/>
        </w:rPr>
        <w:t>本产品与关联方发生的服务类关联交易</w:t>
      </w:r>
    </w:p>
    <w:p>
      <w:pPr>
        <w:pStyle w:val="Normal0"/>
        <w:ind w:firstLine="420" w:firstLineChars="200"/>
        <w:rPr>
          <w:rStyle w:val="DefaultParagraphFont"/>
          <w:rFonts w:ascii="宋体" w:hAnsi="宋体"/>
          <w:sz w:val="24"/>
          <w:szCs w:val="24"/>
          <w:lang w:val="zh-CN"/>
        </w:rPr>
      </w:pPr>
      <w:r>
        <w:rPr>
          <w:rStyle w:val="DefaultParagraphFont"/>
          <w:rFonts w:ascii="宋体" w:eastAsia="宋体" w:hAnsi="宋体" w:cs="宋体"/>
          <w:b w:val="0"/>
          <w:color w:val="000000"/>
          <w:sz w:val="24"/>
        </w:rPr>
        <w:t>报告期内，本产品向招商银行股份有限公司实付托管费用974.36元。</w:t>
      </w:r>
    </w:p>
    <w:p>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4本产品发生的其他类关联交易，</w:t>
      </w:r>
      <w:r>
        <w:rPr>
          <w:rStyle w:val="DefaultParagraphFont"/>
          <w:rFonts w:ascii="宋体" w:hAnsi="宋体" w:hint="eastAsia"/>
          <w:sz w:val="24"/>
          <w:szCs w:val="24"/>
        </w:rPr>
        <w:t>合计关联交易金额为</w:t>
      </w:r>
      <w:r>
        <w:rPr>
          <w:rStyle w:val="DefaultParagraphFont"/>
          <w:rFonts w:ascii="宋体" w:eastAsia="宋体" w:hAnsi="宋体" w:cs="宋体"/>
          <w:b w:val="0"/>
          <w:color w:val="000000"/>
          <w:sz w:val="24"/>
        </w:rPr>
        <w:t>0.00</w:t>
      </w:r>
      <w:r>
        <w:rPr>
          <w:rStyle w:val="DefaultParagraphFont"/>
          <w:rFonts w:ascii="宋体" w:hAnsi="宋体" w:hint="eastAsia"/>
          <w:sz w:val="24"/>
          <w:szCs w:val="24"/>
          <w:lang w:val="zh-CN"/>
        </w:rPr>
        <w:t>元。</w:t>
      </w:r>
    </w:p>
    <w:p>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5本产品报告期内重大关联交易发生情况</w:t>
      </w:r>
    </w:p>
    <w:p>
      <w:pPr>
        <w:pStyle w:val="Normal0"/>
        <w:rPr>
          <w:rStyle w:val="DefaultParagraphFont"/>
          <w:rFonts w:ascii="宋体" w:hAnsi="宋体"/>
          <w:sz w:val="24"/>
          <w:szCs w:val="24"/>
          <w:lang w:val="zh-CN"/>
        </w:rPr>
      </w:pPr>
      <w:r>
        <w:rPr>
          <w:rStyle w:val="DefaultParagraphFont"/>
          <w:rFonts w:ascii="宋体" w:hAnsi="宋体"/>
          <w:sz w:val="24"/>
          <w:szCs w:val="24"/>
          <w:lang w:val="zh-CN"/>
        </w:rPr>
        <w:tab/>
      </w:r>
      <w:r>
        <w:rPr>
          <w:rStyle w:val="DefaultParagraphFont"/>
          <w:rFonts w:ascii="宋体" w:eastAsia="宋体" w:hAnsi="宋体" w:cs="宋体"/>
          <w:b w:val="0"/>
          <w:color w:val="000000"/>
          <w:sz w:val="24"/>
        </w:rPr>
        <w:t>报告期内，本产品未发生重大关联交易。</w:t>
      </w:r>
    </w:p>
    <w:p w:rsidR="00380479" w:rsidRPr="0071237C">
      <w:pPr>
        <w:pStyle w:val="Heading1"/>
        <w:jc w:val="center"/>
        <w:rPr>
          <w:rFonts w:ascii="宋体" w:hAnsi="宋体"/>
          <w:sz w:val="24"/>
          <w:szCs w:val="24"/>
          <w:shd w:val="clear" w:color="auto" w:fill="FFFFFF"/>
        </w:rPr>
      </w:pPr>
      <w:bookmarkStart w:id="13" w:name="_Toc256000010"/>
      <w:r w:rsidRPr="0071237C">
        <w:rPr>
          <w:rFonts w:ascii="宋体" w:hAnsi="宋体" w:hint="eastAsia"/>
          <w:sz w:val="24"/>
          <w:szCs w:val="24"/>
          <w:shd w:val="clear" w:color="auto" w:fill="FFFFFF"/>
        </w:rPr>
        <w:t>§</w:t>
      </w:r>
      <w:r w:rsidRPr="0071237C" w:rsidR="00B21928">
        <w:rPr>
          <w:rFonts w:ascii="宋体" w:hAnsi="宋体"/>
          <w:sz w:val="24"/>
          <w:szCs w:val="24"/>
          <w:shd w:val="clear" w:color="auto" w:fill="FFFFFF"/>
        </w:rPr>
        <w:t>5</w:t>
      </w:r>
      <w:r w:rsidRPr="0071237C">
        <w:rPr>
          <w:rFonts w:ascii="宋体" w:hAnsi="宋体" w:hint="eastAsia"/>
          <w:sz w:val="24"/>
          <w:szCs w:val="24"/>
          <w:shd w:val="clear" w:color="auto" w:fill="FFFFFF"/>
        </w:rPr>
        <w:t xml:space="preserve"> 投资组合报告</w:t>
      </w:r>
      <w:bookmarkEnd w:id="13"/>
    </w:p>
    <w:p w:rsidR="00B05C45" w:rsidRPr="0071237C" w:rsidP="0071237C">
      <w:pPr>
        <w:pStyle w:val="Heading2"/>
        <w:rPr>
          <w:sz w:val="24"/>
          <w:szCs w:val="24"/>
          <w:shd w:val="clear" w:color="auto" w:fill="FFFFFF"/>
        </w:rPr>
      </w:pPr>
      <w:bookmarkStart w:id="14" w:name="_Toc256000011"/>
      <w:r w:rsidRPr="0071237C">
        <w:rPr>
          <w:sz w:val="24"/>
          <w:szCs w:val="24"/>
          <w:shd w:val="clear" w:color="auto" w:fill="FFFFFF"/>
        </w:rPr>
        <w:t>5</w:t>
      </w:r>
      <w:r w:rsidRPr="0071237C">
        <w:rPr>
          <w:rFonts w:hint="eastAsia"/>
          <w:sz w:val="24"/>
          <w:szCs w:val="24"/>
          <w:shd w:val="clear" w:color="auto" w:fill="FFFFFF"/>
        </w:rPr>
        <w:t>.1 期末理财产品资产组合情况</w:t>
      </w:r>
      <w:bookmarkEnd w:id="14"/>
    </w:p>
    <w:tbl>
      <w:tblPr>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rsidTr="00634720">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bookmarkStart w:id="15" w:name="_Toc98232004"/>
            <w:bookmarkStart w:id="16" w:name="_Toc96090170"/>
            <w:bookmarkStart w:id="17" w:name="_Toc96614795"/>
            <w:r>
              <w:rPr>
                <w:rFonts w:ascii="宋体" w:hAnsi="宋体" w:hint="eastAsia"/>
                <w:b/>
                <w:szCs w:val="21"/>
              </w:rPr>
              <w:t>序号</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项目</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穿透前</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穿透后</w:t>
            </w:r>
          </w:p>
        </w:tc>
      </w:tr>
      <w:tr w:rsidTr="00C16DF6">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资产余额</w:t>
            </w:r>
          </w:p>
          <w:p w:rsidR="00412139" w:rsidP="00634720">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C16DF6">
            <w:pPr>
              <w:jc w:val="center"/>
              <w:rPr>
                <w:rFonts w:ascii="宋体" w:hAnsi="宋体"/>
                <w:b/>
                <w:szCs w:val="21"/>
              </w:rPr>
            </w:pPr>
            <w:r>
              <w:rPr>
                <w:rFonts w:ascii="宋体" w:hAnsi="宋体" w:hint="eastAsia"/>
                <w:b/>
                <w:szCs w:val="21"/>
              </w:rPr>
              <w:t>资产余额</w:t>
            </w:r>
          </w:p>
          <w:p w:rsidR="00412139" w:rsidP="00C16DF6">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现金及银行存款</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7,533,130.92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31.89</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14,585,447.65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61.74</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同业存单</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269,384.59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1.14</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拆放同业及债券买入返售</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债券</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8,641,017.47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36.58</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8,641,017.47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36.58</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5</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非标准化债权类资产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6</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权益类投资</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7</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金融衍生品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8</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代客境外理财投资QDII</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9</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商品类资产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0</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另类资产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公募基金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127,394.49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0.54</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私募基金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资产管理产品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7,446,581.80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31.53</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委外投资-协议方式</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合计</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23,620,730.19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23,623,244.20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r>
    </w:tbl>
    <w:p w:rsidR="0071237C" w:rsidRPr="00AB4088" w:rsidP="00B05C45">
      <w:pPr>
        <w:rPr>
          <w:rFonts w:ascii="宋体" w:hAnsi="宋体"/>
          <w:szCs w:val="21"/>
          <w:shd w:val="clear" w:color="auto" w:fill="FFFFFF"/>
        </w:rPr>
      </w:pPr>
      <w:r w:rsidRPr="00491CFA">
        <w:rPr>
          <w:rFonts w:ascii="宋体" w:hAnsi="宋体" w:hint="eastAsia"/>
          <w:szCs w:val="21"/>
          <w:shd w:val="clear" w:color="auto" w:fill="FFFFFF"/>
        </w:rPr>
        <w:t>注</w:t>
      </w:r>
      <w:bookmarkStart w:id="18" w:name="_Toc98232006"/>
      <w:bookmarkEnd w:id="15"/>
      <w:bookmarkEnd w:id="16"/>
      <w:bookmarkEnd w:id="17"/>
      <w:r>
        <w:rPr>
          <w:rFonts w:ascii="宋体" w:hAnsi="宋体" w:hint="eastAsia"/>
          <w:szCs w:val="21"/>
          <w:shd w:val="clear" w:color="auto" w:fill="FFFFFF"/>
        </w:rPr>
        <w:t>：</w:t>
      </w:r>
      <w:r w:rsidRPr="00491CFA">
        <w:rPr>
          <w:rFonts w:ascii="宋体" w:hAnsi="宋体"/>
          <w:szCs w:val="21"/>
          <w:shd w:val="clear" w:color="auto" w:fill="FFFFFF"/>
        </w:rPr>
        <w:t>1.</w:t>
      </w:r>
      <w:r w:rsidRPr="00491CFA">
        <w:rPr>
          <w:rFonts w:ascii="宋体" w:hAnsi="宋体" w:hint="eastAsia"/>
          <w:szCs w:val="21"/>
          <w:shd w:val="clear" w:color="auto" w:fill="FFFFFF"/>
        </w:rPr>
        <w:t>金额中包含资产应计利息、其他应收款项、清算款项和待摊费用。</w:t>
      </w:r>
    </w:p>
    <w:p w:rsidR="00B05C45" w:rsidRPr="00AB4088" w:rsidP="00B05C45">
      <w:pPr>
        <w:rPr>
          <w:rFonts w:ascii="宋体" w:hAnsi="宋体"/>
          <w:szCs w:val="21"/>
          <w:shd w:val="clear" w:color="auto" w:fill="FFFFFF"/>
        </w:rPr>
      </w:pPr>
      <w:r w:rsidRPr="00491CFA">
        <w:rPr>
          <w:rFonts w:ascii="宋体" w:hAnsi="宋体"/>
          <w:szCs w:val="21"/>
          <w:shd w:val="clear" w:color="auto" w:fill="FFFFFF"/>
        </w:rPr>
        <w:t>2.</w:t>
      </w:r>
      <w:r w:rsidRPr="00491CFA">
        <w:rPr>
          <w:rFonts w:ascii="宋体" w:hAnsi="宋体" w:hint="eastAsia"/>
          <w:szCs w:val="21"/>
          <w:shd w:val="clear" w:color="auto" w:fill="FFFFFF"/>
        </w:rPr>
        <w:t>占</w:t>
      </w:r>
      <w:r w:rsidRPr="00491CFA">
        <w:rPr>
          <w:rFonts w:ascii="宋体" w:hAnsi="宋体"/>
          <w:szCs w:val="21"/>
          <w:shd w:val="clear" w:color="auto" w:fill="FFFFFF"/>
        </w:rPr>
        <w:t>产品总资产的比例=资产</w:t>
      </w:r>
      <w:r w:rsidRPr="00491CFA">
        <w:rPr>
          <w:rFonts w:ascii="宋体" w:hAnsi="宋体" w:hint="eastAsia"/>
          <w:szCs w:val="21"/>
          <w:shd w:val="clear" w:color="auto" w:fill="FFFFFF"/>
        </w:rPr>
        <w:t>余额/产品</w:t>
      </w:r>
      <w:r w:rsidRPr="00491CFA">
        <w:rPr>
          <w:rFonts w:ascii="宋体" w:hAnsi="宋体"/>
          <w:szCs w:val="21"/>
          <w:shd w:val="clear" w:color="auto" w:fill="FFFFFF"/>
        </w:rPr>
        <w:t>总资产，</w:t>
      </w:r>
      <w:r w:rsidRPr="00491CFA">
        <w:rPr>
          <w:rFonts w:ascii="宋体" w:hAnsi="宋体" w:hint="eastAsia"/>
          <w:szCs w:val="21"/>
          <w:shd w:val="clear" w:color="auto" w:fill="FFFFFF"/>
        </w:rPr>
        <w:t>占比</w:t>
      </w:r>
      <w:r w:rsidRPr="00491CFA">
        <w:rPr>
          <w:rFonts w:ascii="宋体" w:hAnsi="宋体"/>
          <w:szCs w:val="21"/>
          <w:shd w:val="clear" w:color="auto" w:fill="FFFFFF"/>
        </w:rPr>
        <w:t>结果</w:t>
      </w:r>
      <w:r w:rsidRPr="00491CFA">
        <w:rPr>
          <w:rFonts w:ascii="宋体" w:hAnsi="宋体" w:hint="eastAsia"/>
          <w:szCs w:val="21"/>
          <w:shd w:val="clear" w:color="auto" w:fill="FFFFFF"/>
        </w:rPr>
        <w:t>保留两位小数（因第二位小数四舍五入，可能存在尾差）。</w:t>
      </w:r>
      <w:bookmarkStart w:id="19" w:name="前十大"/>
    </w:p>
    <w:p w:rsidR="00EA25B3">
      <w:pPr>
        <w:pStyle w:val="Heading20"/>
        <w:widowControl/>
        <w:rPr>
          <w:rStyle w:val="DefaultParagraphFont"/>
          <w:rFonts w:cs="宋体" w:hint="default"/>
          <w:color w:val="333333"/>
          <w:kern w:val="0"/>
          <w:szCs w:val="21"/>
          <w:highlight w:val="lightGray"/>
          <w:shd w:val="clear" w:color="auto" w:fill="FFFFFF"/>
        </w:rPr>
      </w:pPr>
      <w:bookmarkStart w:id="20" w:name="_Toc256000012"/>
      <w:r>
        <w:rPr>
          <w:rStyle w:val="DefaultParagraphFont"/>
          <w:sz w:val="24"/>
          <w:szCs w:val="24"/>
          <w:shd w:val="clear" w:color="auto" w:fill="FFFFFF"/>
        </w:rPr>
        <w:t>5.2 期末投资组合前十项资产</w:t>
      </w:r>
      <w:bookmarkEnd w:id="20"/>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sidRPr="0090581A">
              <w:rPr>
                <w:rStyle w:val="DefaultParagraphFont"/>
                <w:rFonts w:ascii="宋体" w:hAnsi="宋体" w:cs="宋体" w:hint="eastAsia"/>
                <w:b/>
                <w:szCs w:val="21"/>
              </w:rPr>
              <w:t>序号</w:t>
            </w:r>
          </w:p>
        </w:tc>
        <w:tc>
          <w:tcPr>
            <w:tcW w:w="238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资产名称</w:t>
            </w:r>
          </w:p>
        </w:tc>
        <w:tc>
          <w:tcPr>
            <w:tcW w:w="304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资产余额</w:t>
            </w:r>
          </w:p>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（单位：</w:t>
            </w:r>
            <w:r>
              <w:rPr>
                <w:rStyle w:val="DefaultParagraphFont"/>
                <w:rFonts w:ascii="宋体" w:eastAsia="宋体" w:hAnsi="宋体" w:cs="宋体"/>
                <w:b/>
                <w:i w:val="0"/>
                <w:color w:val="000000"/>
                <w:position w:val="-1"/>
                <w:u w:val="none"/>
              </w:rPr>
              <w:t>元</w:t>
            </w:r>
            <w:r>
              <w:rPr>
                <w:rStyle w:val="DefaultParagraphFont"/>
                <w:rFonts w:ascii="宋体" w:hAnsi="宋体" w:cs="宋体" w:hint="eastAsia"/>
                <w:b/>
                <w:szCs w:val="21"/>
              </w:rPr>
              <w:t>）</w:t>
            </w:r>
          </w:p>
        </w:tc>
        <w:tc>
          <w:tcPr>
            <w:tcW w:w="1631" w:type="dxa"/>
            <w:shd w:val="clear" w:color="auto" w:fill="BFBFBF"/>
            <w:vAlign w:val="center"/>
          </w:tcPr>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占产品净资产</w:t>
            </w:r>
          </w:p>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b/>
                <w:szCs w:val="21"/>
              </w:rPr>
              <w:t>的</w:t>
            </w:r>
            <w:r>
              <w:rPr>
                <w:rStyle w:val="DefaultParagraphFont"/>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23建行永续债02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1,806,985.91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7.65</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24中行TLAC非资本债01B</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1,556,441.53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6.59</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24农行二级资本债02A</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1,554,203.96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6.58</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24工行二级资本债01A(BC)</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1,539,257.22</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6.52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19工商银行二级02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1,143,070.38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4.84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24兴业银行二级资本债01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1,041,058.47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4.41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定期存款1210286300102006</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402,013.71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1.70</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定期存款1210286300104006</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332,819.45</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1.41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定期存款1210286300104005</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232,112.51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0.98</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定期存款1210286300104007</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229,368.63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0.97</w:t>
            </w:r>
          </w:p>
        </w:tc>
      </w:tr>
    </w:tbl>
    <w:p w:rsidR="00EA25B3">
      <w:pPr>
        <w:pStyle w:val="Normal1"/>
        <w:rPr>
          <w:rStyle w:val="DefaultParagraphFont"/>
          <w:rFonts w:ascii="宋体" w:hAnsi="宋体"/>
          <w:szCs w:val="21"/>
          <w:shd w:val="clear" w:color="auto" w:fill="FFFFFF"/>
        </w:rPr>
      </w:pPr>
      <w:r>
        <w:rPr>
          <w:rStyle w:val="DefaultParagraphFont"/>
          <w:rFonts w:ascii="宋体" w:hAnsi="宋体" w:hint="eastAsia"/>
          <w:szCs w:val="21"/>
          <w:shd w:val="clear" w:color="auto" w:fill="FFFFFF"/>
        </w:rPr>
        <w:t>注：占</w:t>
      </w:r>
      <w:r>
        <w:rPr>
          <w:rStyle w:val="DefaultParagraphFont"/>
          <w:rFonts w:ascii="宋体" w:hAnsi="宋体"/>
          <w:szCs w:val="21"/>
          <w:shd w:val="clear" w:color="auto" w:fill="FFFFFF"/>
        </w:rPr>
        <w:t>产品</w:t>
      </w:r>
      <w:r>
        <w:rPr>
          <w:rStyle w:val="DefaultParagraphFont"/>
          <w:rFonts w:ascii="宋体" w:hAnsi="宋体" w:hint="eastAsia"/>
          <w:szCs w:val="21"/>
          <w:shd w:val="clear" w:color="auto" w:fill="FFFFFF"/>
        </w:rPr>
        <w:t>净</w:t>
      </w:r>
      <w:r>
        <w:rPr>
          <w:rStyle w:val="DefaultParagraphFont"/>
          <w:rFonts w:ascii="宋体" w:hAnsi="宋体"/>
          <w:szCs w:val="21"/>
          <w:shd w:val="clear" w:color="auto" w:fill="FFFFFF"/>
        </w:rPr>
        <w:t>资产的比例=资产</w:t>
      </w:r>
      <w:r>
        <w:rPr>
          <w:rStyle w:val="DefaultParagraphFont"/>
          <w:rFonts w:ascii="宋体" w:hAnsi="宋体" w:hint="eastAsia"/>
          <w:szCs w:val="21"/>
          <w:shd w:val="clear" w:color="auto" w:fill="FFFFFF"/>
        </w:rPr>
        <w:t>余额/产品净</w:t>
      </w:r>
      <w:r>
        <w:rPr>
          <w:rStyle w:val="DefaultParagraphFont"/>
          <w:rFonts w:ascii="宋体" w:hAnsi="宋体"/>
          <w:szCs w:val="21"/>
          <w:shd w:val="clear" w:color="auto" w:fill="FFFFFF"/>
        </w:rPr>
        <w:t>资产，</w:t>
      </w:r>
      <w:r>
        <w:rPr>
          <w:rStyle w:val="DefaultParagraphFont"/>
          <w:rFonts w:ascii="宋体" w:hAnsi="宋体" w:hint="eastAsia"/>
          <w:szCs w:val="21"/>
          <w:shd w:val="clear" w:color="auto" w:fill="FFFFFF"/>
        </w:rPr>
        <w:t>占比</w:t>
      </w:r>
      <w:r>
        <w:rPr>
          <w:rStyle w:val="DefaultParagraphFont"/>
          <w:rFonts w:ascii="宋体" w:hAnsi="宋体"/>
          <w:szCs w:val="21"/>
          <w:shd w:val="clear" w:color="auto" w:fill="FFFFFF"/>
        </w:rPr>
        <w:t>结果</w:t>
      </w:r>
      <w:r>
        <w:rPr>
          <w:rStyle w:val="DefaultParagraphFont"/>
          <w:rFonts w:ascii="宋体" w:hAnsi="宋体" w:hint="eastAsia"/>
          <w:szCs w:val="21"/>
          <w:shd w:val="clear" w:color="auto" w:fill="FFFFFF"/>
        </w:rPr>
        <w:t>保留两位小数（因第二位小数四舍五入，可能存在尾差）。</w:t>
      </w:r>
    </w:p>
    <w:p w:rsidR="008D77ED" w:rsidRPr="0071237C" w:rsidP="0071237C">
      <w:pPr>
        <w:pStyle w:val="Heading2"/>
        <w:rPr>
          <w:sz w:val="24"/>
          <w:szCs w:val="24"/>
          <w:shd w:val="clear" w:color="auto" w:fill="FFFFFF"/>
        </w:rPr>
      </w:pPr>
      <w:bookmarkStart w:id="21" w:name="_Toc256000013"/>
      <w:r w:rsidRPr="0071237C">
        <w:rPr>
          <w:sz w:val="24"/>
          <w:szCs w:val="24"/>
          <w:shd w:val="clear" w:color="auto" w:fill="FFFFFF"/>
        </w:rPr>
        <w:t>5</w:t>
      </w:r>
      <w:r w:rsidRPr="0071237C">
        <w:rPr>
          <w:rFonts w:hint="eastAsia"/>
          <w:sz w:val="24"/>
          <w:szCs w:val="24"/>
          <w:shd w:val="clear" w:color="auto" w:fill="FFFFFF"/>
        </w:rPr>
        <w:t>.3 报告期末非标准化债权类资产信息</w:t>
      </w:r>
      <w:bookmarkEnd w:id="21"/>
    </w:p>
    <w:tbl>
      <w:tblPr>
        <w:tblStyle w:val="TableGrid"/>
        <w:tblW w:w="8926" w:type="dxa"/>
        <w:tblLook w:val="04A0"/>
      </w:tblPr>
      <w:tblGrid>
        <w:gridCol w:w="2122"/>
        <w:gridCol w:w="1701"/>
        <w:gridCol w:w="2126"/>
        <w:gridCol w:w="1417"/>
        <w:gridCol w:w="1560"/>
      </w:tblGrid>
      <w:tr w:rsidTr="00905872">
        <w:tblPrEx>
          <w:tblW w:w="8926" w:type="dxa"/>
          <w:tblLook w:val="04A0"/>
        </w:tblPrEx>
        <w:tc>
          <w:tcPr>
            <w:tcW w:w="2122"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资产名称</w:t>
            </w:r>
          </w:p>
        </w:tc>
        <w:tc>
          <w:tcPr>
            <w:tcW w:w="1701"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融资客户名称</w:t>
            </w:r>
          </w:p>
        </w:tc>
        <w:tc>
          <w:tcPr>
            <w:tcW w:w="2126"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项目剩余</w:t>
            </w:r>
          </w:p>
          <w:p w:rsidR="000133EF" w:rsidRPr="00B53D88" w:rsidP="00905872">
            <w:pPr>
              <w:widowControl/>
              <w:jc w:val="center"/>
              <w:rPr>
                <w:rFonts w:ascii="宋体" w:hAnsi="宋体" w:cs="宋体"/>
                <w:b/>
                <w:szCs w:val="21"/>
              </w:rPr>
            </w:pPr>
            <w:r w:rsidRPr="00B53D88">
              <w:rPr>
                <w:rFonts w:ascii="宋体" w:hAnsi="宋体" w:cs="宋体" w:hint="eastAsia"/>
                <w:b/>
                <w:szCs w:val="21"/>
              </w:rPr>
              <w:t>融资期限</w:t>
            </w:r>
          </w:p>
          <w:p w:rsidR="000133EF" w:rsidRPr="00085A6E" w:rsidP="00905872">
            <w:pPr>
              <w:widowControl/>
              <w:jc w:val="center"/>
              <w:rPr>
                <w:rFonts w:ascii="宋体" w:hAnsi="宋体" w:cs="宋体"/>
                <w:b/>
                <w:szCs w:val="21"/>
              </w:rPr>
            </w:pPr>
            <w:r w:rsidRPr="00B53D88">
              <w:rPr>
                <w:rFonts w:ascii="宋体" w:hAnsi="宋体" w:cs="宋体" w:hint="eastAsia"/>
                <w:b/>
                <w:szCs w:val="21"/>
              </w:rPr>
              <w:t>（单位：天）</w:t>
            </w:r>
          </w:p>
        </w:tc>
        <w:tc>
          <w:tcPr>
            <w:tcW w:w="1417"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560"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085A6E">
              <w:rPr>
                <w:rFonts w:ascii="宋体" w:hAnsi="宋体" w:cs="宋体" w:hint="eastAsia"/>
                <w:b/>
                <w:szCs w:val="21"/>
              </w:rPr>
              <w:t>风险状况</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D77ED" w:rsidP="008D77ED">
      <w:pPr>
        <w:rPr>
          <w:shd w:val="clear" w:color="auto" w:fill="FFFFFF"/>
        </w:rPr>
      </w:pPr>
      <w:r w:rsidRPr="00604EA3">
        <w:rPr>
          <w:rFonts w:hint="eastAsia"/>
          <w:shd w:val="clear" w:color="auto" w:fill="FFFFFF"/>
        </w:rPr>
        <w:t>注</w:t>
      </w:r>
      <w:r w:rsidR="00BF5002">
        <w:rPr>
          <w:rFonts w:hint="eastAsia"/>
          <w:shd w:val="clear" w:color="auto" w:fill="FFFFFF"/>
        </w:rPr>
        <w:t>：</w:t>
      </w:r>
      <w:r w:rsidRPr="00604EA3">
        <w:rPr>
          <w:rFonts w:hint="eastAsia"/>
          <w:shd w:val="clear" w:color="auto" w:fill="FFFFFF"/>
        </w:rPr>
        <w:t>项目剩余融资期限为非标准化债权类资产自报告期末至项目结束之间的期限，如该笔资产在报</w:t>
      </w:r>
      <w:r w:rsidRPr="00604EA3">
        <w:rPr>
          <w:rFonts w:hint="eastAsia"/>
          <w:shd w:val="clear" w:color="auto" w:fill="FFFFFF"/>
        </w:rPr>
        <w:t>告期内已到期或已卖出，则显示为“</w:t>
      </w:r>
      <w:r w:rsidRPr="00604EA3">
        <w:rPr>
          <w:rFonts w:hint="eastAsia"/>
          <w:shd w:val="clear" w:color="auto" w:fill="FFFFFF"/>
        </w:rPr>
        <w:t>-</w:t>
      </w:r>
      <w:r w:rsidRPr="00604EA3">
        <w:rPr>
          <w:rFonts w:hint="eastAsia"/>
          <w:shd w:val="clear" w:color="auto" w:fill="FFFFFF"/>
        </w:rPr>
        <w:t>”。</w:t>
      </w:r>
    </w:p>
    <w:p w:rsidR="008D77ED" w:rsidRPr="0071237C" w:rsidP="0071237C">
      <w:pPr>
        <w:pStyle w:val="Heading2"/>
        <w:rPr>
          <w:sz w:val="24"/>
          <w:szCs w:val="24"/>
          <w:shd w:val="clear" w:color="auto" w:fill="FFFFFF"/>
        </w:rPr>
      </w:pPr>
      <w:bookmarkStart w:id="22" w:name="_Toc96614799"/>
      <w:bookmarkStart w:id="23" w:name="_Toc256000014"/>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4</w:t>
      </w:r>
      <w:r w:rsidRPr="0071237C">
        <w:rPr>
          <w:rFonts w:hint="eastAsia"/>
          <w:sz w:val="24"/>
          <w:szCs w:val="24"/>
          <w:shd w:val="clear" w:color="auto" w:fill="FFFFFF"/>
        </w:rPr>
        <w:t xml:space="preserve"> 报告期</w:t>
      </w:r>
      <w:r w:rsidRPr="0071237C">
        <w:rPr>
          <w:sz w:val="24"/>
          <w:szCs w:val="24"/>
          <w:shd w:val="clear" w:color="auto" w:fill="FFFFFF"/>
        </w:rPr>
        <w:t>内</w:t>
      </w:r>
      <w:r w:rsidRPr="0071237C">
        <w:rPr>
          <w:rFonts w:hint="eastAsia"/>
          <w:sz w:val="24"/>
          <w:szCs w:val="24"/>
          <w:shd w:val="clear" w:color="auto" w:fill="FFFFFF"/>
        </w:rPr>
        <w:t>到期</w:t>
      </w:r>
      <w:r w:rsidRPr="0071237C">
        <w:rPr>
          <w:sz w:val="24"/>
          <w:szCs w:val="24"/>
          <w:shd w:val="clear" w:color="auto" w:fill="FFFFFF"/>
        </w:rPr>
        <w:t>的</w:t>
      </w:r>
      <w:r w:rsidRPr="0071237C">
        <w:rPr>
          <w:rFonts w:hint="eastAsia"/>
          <w:sz w:val="24"/>
          <w:szCs w:val="24"/>
          <w:shd w:val="clear" w:color="auto" w:fill="FFFFFF"/>
        </w:rPr>
        <w:t>非标准化</w:t>
      </w:r>
      <w:r w:rsidRPr="0071237C">
        <w:rPr>
          <w:sz w:val="24"/>
          <w:szCs w:val="24"/>
          <w:shd w:val="clear" w:color="auto" w:fill="FFFFFF"/>
        </w:rPr>
        <w:t>债权类资产及收益情况</w:t>
      </w:r>
      <w:bookmarkEnd w:id="23"/>
      <w:bookmarkEnd w:id="22"/>
    </w:p>
    <w:tbl>
      <w:tblPr>
        <w:tblStyle w:val="TableGrid"/>
        <w:tblW w:w="9060" w:type="dxa"/>
        <w:tblLook w:val="04A0"/>
      </w:tblPr>
      <w:tblGrid>
        <w:gridCol w:w="1953"/>
        <w:gridCol w:w="1188"/>
        <w:gridCol w:w="1543"/>
        <w:gridCol w:w="1123"/>
        <w:gridCol w:w="1133"/>
        <w:gridCol w:w="2120"/>
      </w:tblGrid>
      <w:tr w:rsidTr="00291DB1">
        <w:tblPrEx>
          <w:tblW w:w="9060" w:type="dxa"/>
          <w:tblLook w:val="04A0"/>
        </w:tblPrEx>
        <w:tc>
          <w:tcPr>
            <w:tcW w:w="195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资产名称</w:t>
            </w:r>
          </w:p>
        </w:tc>
        <w:tc>
          <w:tcPr>
            <w:tcW w:w="1188"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融资客户名称</w:t>
            </w:r>
          </w:p>
        </w:tc>
        <w:tc>
          <w:tcPr>
            <w:tcW w:w="1543"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项目剩余融资期限</w:t>
            </w:r>
          </w:p>
          <w:p w:rsidR="00EF0D0E" w:rsidRPr="00085A6E" w:rsidP="00E553B0">
            <w:pPr>
              <w:widowControl/>
              <w:jc w:val="center"/>
              <w:rPr>
                <w:rFonts w:ascii="宋体" w:hAnsi="宋体" w:cs="宋体"/>
                <w:b/>
                <w:szCs w:val="21"/>
              </w:rPr>
            </w:pPr>
            <w:r w:rsidRPr="00B53D88">
              <w:rPr>
                <w:rFonts w:ascii="宋体" w:hAnsi="宋体" w:cs="宋体" w:hint="eastAsia"/>
                <w:b/>
                <w:szCs w:val="21"/>
              </w:rPr>
              <w:t>（单位：天）</w:t>
            </w:r>
          </w:p>
        </w:tc>
        <w:tc>
          <w:tcPr>
            <w:tcW w:w="112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13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085A6E">
              <w:rPr>
                <w:rFonts w:ascii="宋体" w:hAnsi="宋体" w:cs="宋体" w:hint="eastAsia"/>
                <w:b/>
                <w:szCs w:val="21"/>
              </w:rPr>
              <w:t>风险状况</w:t>
            </w:r>
          </w:p>
        </w:tc>
        <w:tc>
          <w:tcPr>
            <w:tcW w:w="2120" w:type="dxa"/>
            <w:shd w:val="clear" w:color="auto" w:fill="BFBFBF" w:themeFill="background1" w:themeFillShade="BF"/>
            <w:vAlign w:val="center"/>
          </w:tcPr>
          <w:p w:rsidR="00291DB1" w:rsidP="00291DB1">
            <w:pPr>
              <w:widowControl/>
              <w:jc w:val="center"/>
              <w:rPr>
                <w:rFonts w:ascii="宋体" w:hAnsi="宋体" w:cs="宋体"/>
                <w:b/>
                <w:szCs w:val="21"/>
              </w:rPr>
            </w:pPr>
            <w:r w:rsidRPr="00AE53EF">
              <w:rPr>
                <w:rFonts w:ascii="宋体" w:hAnsi="宋体" w:cs="宋体" w:hint="eastAsia"/>
                <w:b/>
                <w:szCs w:val="21"/>
              </w:rPr>
              <w:t>投资收益</w:t>
            </w:r>
          </w:p>
          <w:p w:rsidR="00EF0D0E" w:rsidRPr="00085A6E" w:rsidP="00291DB1">
            <w:pPr>
              <w:widowControl/>
              <w:jc w:val="center"/>
              <w:rPr>
                <w:rFonts w:ascii="宋体" w:hAnsi="宋体" w:cs="宋体"/>
                <w:b/>
                <w:szCs w:val="21"/>
              </w:rPr>
            </w:pPr>
            <w:r w:rsidRPr="00AE53EF">
              <w:rPr>
                <w:rFonts w:ascii="宋体" w:hAnsi="宋体" w:cs="宋体" w:hint="eastAsia"/>
                <w:b/>
                <w:szCs w:val="21"/>
              </w:rPr>
              <w:t>（单位：</w:t>
            </w:r>
            <w:r>
              <w:rPr>
                <w:rFonts w:ascii="宋体" w:eastAsia="宋体" w:hAnsi="宋体" w:cs="宋体"/>
                <w:b/>
                <w:i w:val="0"/>
                <w:color w:val="000000"/>
                <w:position w:val="-1"/>
                <w:u w:val="none"/>
              </w:rPr>
              <w:t>元</w:t>
            </w:r>
            <w:r w:rsidRPr="00AE53EF">
              <w:rPr>
                <w:rFonts w:ascii="宋体" w:hAnsi="宋体" w:cs="宋体" w:hint="eastAsia"/>
                <w:b/>
                <w:szCs w:val="21"/>
              </w:rPr>
              <w:t>）</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F0D0E" w:rsidP="00EF0D0E">
      <w:pPr>
        <w:rPr>
          <w:shd w:val="clear" w:color="auto" w:fill="FFFFFF"/>
        </w:rPr>
      </w:pPr>
      <w:r w:rsidRPr="008535C8">
        <w:rPr>
          <w:rFonts w:hint="eastAsia"/>
          <w:shd w:val="clear" w:color="auto" w:fill="FFFFFF"/>
        </w:rPr>
        <w:t>注</w:t>
      </w:r>
      <w:r>
        <w:rPr>
          <w:rFonts w:hint="eastAsia"/>
          <w:shd w:val="clear" w:color="auto" w:fill="FFFFFF"/>
        </w:rPr>
        <w:t>：</w:t>
      </w:r>
    </w:p>
    <w:p w:rsidR="00EF0D0E" w:rsidP="00EF0D0E">
      <w:pPr>
        <w:rPr>
          <w:shd w:val="clear" w:color="auto" w:fill="FFFFFF"/>
        </w:rPr>
      </w:pPr>
      <w:r>
        <w:rPr>
          <w:rFonts w:ascii="宋体" w:hAnsi="宋体" w:hint="eastAsia"/>
          <w:szCs w:val="21"/>
          <w:shd w:val="clear" w:color="auto" w:fill="FFFFFF"/>
        </w:rPr>
        <w:t>1</w:t>
      </w:r>
      <w:r>
        <w:rPr>
          <w:rFonts w:ascii="宋体" w:hAnsi="宋体"/>
          <w:szCs w:val="21"/>
          <w:shd w:val="clear" w:color="auto" w:fill="FFFFFF"/>
        </w:rPr>
        <w:t>.</w:t>
      </w:r>
      <w:r w:rsidRPr="008535C8">
        <w:rPr>
          <w:rFonts w:hint="eastAsia"/>
          <w:shd w:val="clear" w:color="auto" w:fill="FFFFFF"/>
        </w:rPr>
        <w:t>项目剩余融资期限为非标准化债权类资产自报告期末至项目结束之间的期限，如该笔资产在报告期内已到期或已卖出，则显示为“</w:t>
      </w:r>
      <w:r w:rsidRPr="008535C8">
        <w:rPr>
          <w:rFonts w:hint="eastAsia"/>
          <w:shd w:val="clear" w:color="auto" w:fill="FFFFFF"/>
        </w:rPr>
        <w:t>-</w:t>
      </w:r>
      <w:r w:rsidRPr="008535C8">
        <w:rPr>
          <w:rFonts w:hint="eastAsia"/>
          <w:shd w:val="clear" w:color="auto" w:fill="FFFFFF"/>
        </w:rPr>
        <w:t>”。</w:t>
      </w:r>
    </w:p>
    <w:p w:rsidR="00EF0D0E" w:rsidRPr="00AE53EF" w:rsidP="00EF0D0E">
      <w:pPr>
        <w:rPr>
          <w:shd w:val="clear" w:color="auto" w:fill="FFFFFF"/>
        </w:rPr>
      </w:pPr>
      <w:r>
        <w:rPr>
          <w:rFonts w:ascii="宋体" w:hAnsi="宋体" w:hint="eastAsia"/>
          <w:szCs w:val="21"/>
          <w:shd w:val="clear" w:color="auto" w:fill="FFFFFF"/>
        </w:rPr>
        <w:t>2</w:t>
      </w:r>
      <w:r>
        <w:rPr>
          <w:rFonts w:ascii="宋体" w:hAnsi="宋体"/>
          <w:szCs w:val="21"/>
          <w:shd w:val="clear" w:color="auto" w:fill="FFFFFF"/>
        </w:rPr>
        <w:t>.</w:t>
      </w:r>
      <w:r w:rsidRPr="00931AE2">
        <w:rPr>
          <w:shd w:val="clear" w:color="auto" w:fill="FFFFFF"/>
        </w:rPr>
        <w:t>投资收益为理财产品持有该笔资产期间</w:t>
      </w:r>
      <w:r w:rsidRPr="00931AE2">
        <w:rPr>
          <w:rFonts w:hint="eastAsia"/>
        </w:rPr>
        <w:t>的投资收益情况。</w:t>
      </w:r>
    </w:p>
    <w:p w:rsidR="008D77ED" w:rsidRPr="0071237C" w:rsidP="0071237C">
      <w:pPr>
        <w:pStyle w:val="Heading2"/>
        <w:rPr>
          <w:sz w:val="24"/>
          <w:szCs w:val="24"/>
          <w:shd w:val="clear" w:color="auto" w:fill="FFFFFF"/>
        </w:rPr>
      </w:pPr>
      <w:bookmarkStart w:id="24" w:name="_Toc256000015"/>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5</w:t>
      </w:r>
      <w:r w:rsidRPr="0071237C">
        <w:rPr>
          <w:rFonts w:hint="eastAsia"/>
          <w:sz w:val="24"/>
          <w:szCs w:val="24"/>
          <w:shd w:val="clear" w:color="auto" w:fill="FFFFFF"/>
        </w:rPr>
        <w:t xml:space="preserve"> 报告期末信贷资产收受益权资产信息</w:t>
      </w:r>
      <w:bookmarkEnd w:id="24"/>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2412"/>
        <w:gridCol w:w="3685"/>
      </w:tblGrid>
      <w:tr w:rsidTr="0071237C">
        <w:tblPrEx>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585"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w:t>
            </w:r>
            <w:r w:rsidRPr="004C7F8B">
              <w:rPr>
                <w:rFonts w:ascii="宋体" w:hAnsi="宋体" w:cs="宋体" w:hint="eastAsia"/>
                <w:b/>
                <w:szCs w:val="21"/>
              </w:rPr>
              <w:t>名称</w:t>
            </w:r>
          </w:p>
        </w:tc>
        <w:tc>
          <w:tcPr>
            <w:tcW w:w="1351"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原始权益人</w:t>
            </w:r>
            <w:r w:rsidRPr="004C7F8B">
              <w:rPr>
                <w:rFonts w:ascii="宋体" w:hAnsi="宋体" w:cs="宋体" w:hint="eastAsia"/>
                <w:b/>
                <w:szCs w:val="21"/>
              </w:rPr>
              <w:t>名称</w:t>
            </w:r>
          </w:p>
        </w:tc>
        <w:tc>
          <w:tcPr>
            <w:tcW w:w="2064" w:type="pct"/>
            <w:shd w:val="clear" w:color="auto" w:fill="BFBFBF"/>
            <w:vAlign w:val="center"/>
            <w:hideMark/>
          </w:tcPr>
          <w:p w:rsidR="008D77ED" w:rsidRPr="00931AE2" w:rsidP="00975504">
            <w:pPr>
              <w:widowControl/>
              <w:jc w:val="center"/>
              <w:rPr>
                <w:rFonts w:ascii="宋体" w:hAnsi="宋体" w:cs="宋体"/>
                <w:b/>
                <w:szCs w:val="21"/>
              </w:rPr>
            </w:pPr>
            <w:r w:rsidRPr="00931AE2">
              <w:rPr>
                <w:rFonts w:ascii="宋体" w:hAnsi="宋体" w:cs="宋体" w:hint="eastAsia"/>
                <w:b/>
                <w:szCs w:val="21"/>
              </w:rPr>
              <w:t>项目剩余融资期限</w:t>
            </w:r>
          </w:p>
          <w:p w:rsidR="008D77ED" w:rsidRPr="004C7F8B" w:rsidP="00090C9E">
            <w:pPr>
              <w:widowControl/>
              <w:jc w:val="center"/>
              <w:rPr>
                <w:rFonts w:ascii="宋体" w:hAnsi="宋体" w:cs="宋体"/>
                <w:b/>
                <w:color w:val="333333"/>
                <w:kern w:val="0"/>
                <w:szCs w:val="21"/>
                <w:highlight w:val="lightGray"/>
                <w:shd w:val="clear" w:color="auto" w:fill="FFFFFF"/>
              </w:rPr>
            </w:pPr>
            <w:r w:rsidRPr="00931AE2">
              <w:rPr>
                <w:rFonts w:ascii="宋体" w:hAnsi="宋体" w:cs="宋体" w:hint="eastAsia"/>
                <w:b/>
                <w:szCs w:val="21"/>
              </w:rPr>
              <w:t>（单位：天）</w:t>
            </w:r>
          </w:p>
        </w:tc>
      </w:tr>
      <w:tr w:rsidTr="0071237C">
        <w:tblPrEx>
          <w:tblW w:w="4926" w:type="pct"/>
          <w:tblLook w:val="04A0"/>
        </w:tblPrEx>
        <w:trPr>
          <w:trHeight w:val="430"/>
        </w:trPr>
        <w:tc>
          <w:tcPr>
            <w:tcW w:w="1585"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351"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64"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2"/>
        <w:rPr>
          <w:rStyle w:val="DefaultParagraphFont"/>
          <w:rFonts w:eastAsia="宋体" w:cs="Times New Roman"/>
          <w:sz w:val="24"/>
          <w:szCs w:val="24"/>
          <w:shd w:val="clear" w:color="auto" w:fill="FFFFFF"/>
          <w:lang w:val="en-US" w:eastAsia="zh-CN" w:bidi="ar-SA"/>
        </w:rPr>
      </w:pPr>
      <w:bookmarkStart w:id="26" w:name="_Toc256000016"/>
      <w:r w:rsidRPr="00BB25DC">
        <w:rPr>
          <w:rStyle w:val="DefaultParagraphFont"/>
          <w:rFonts w:eastAsia="宋体" w:cs="Times New Roman"/>
          <w:sz w:val="24"/>
          <w:szCs w:val="24"/>
          <w:shd w:val="clear" w:color="auto" w:fill="FFFFFF"/>
          <w:lang w:val="en-US" w:eastAsia="zh-CN" w:bidi="ar-SA"/>
        </w:rPr>
        <w:t>5</w:t>
      </w:r>
      <w:r w:rsidRPr="00BB25DC">
        <w:rPr>
          <w:rStyle w:val="DefaultParagraphFont"/>
          <w:rFonts w:eastAsia="宋体" w:cs="Times New Roman" w:hint="eastAsia"/>
          <w:sz w:val="24"/>
          <w:szCs w:val="24"/>
          <w:shd w:val="clear" w:color="auto" w:fill="FFFFFF"/>
          <w:lang w:val="en-US" w:eastAsia="zh-CN" w:bidi="ar-SA"/>
        </w:rPr>
        <w:t>.</w:t>
      </w:r>
      <w:r w:rsidRPr="00BB25DC">
        <w:rPr>
          <w:rStyle w:val="DefaultParagraphFont"/>
          <w:rFonts w:eastAsia="宋体" w:cs="Times New Roman"/>
          <w:sz w:val="24"/>
          <w:szCs w:val="24"/>
          <w:shd w:val="clear" w:color="auto" w:fill="FFFFFF"/>
          <w:lang w:val="en-US" w:eastAsia="zh-CN" w:bidi="ar-SA"/>
        </w:rPr>
        <w:t>6</w:t>
      </w:r>
      <w:r w:rsidRPr="00BB25DC">
        <w:rPr>
          <w:rStyle w:val="DefaultParagraphFont"/>
          <w:rFonts w:eastAsia="宋体" w:cs="Times New Roman" w:hint="eastAsia"/>
          <w:sz w:val="24"/>
          <w:szCs w:val="24"/>
          <w:shd w:val="clear" w:color="auto" w:fill="FFFFFF"/>
          <w:lang w:val="en-US" w:eastAsia="zh-CN" w:bidi="ar-SA"/>
        </w:rPr>
        <w:t xml:space="preserve"> 报告</w:t>
      </w:r>
      <w:r w:rsidRPr="00BB25DC">
        <w:rPr>
          <w:rStyle w:val="DefaultParagraphFont"/>
          <w:rFonts w:eastAsia="宋体" w:cs="Times New Roman"/>
          <w:sz w:val="24"/>
          <w:szCs w:val="24"/>
          <w:shd w:val="clear" w:color="auto" w:fill="FFFFFF"/>
          <w:lang w:val="en-US" w:eastAsia="zh-CN" w:bidi="ar-SA"/>
        </w:rPr>
        <w:t>期</w:t>
      </w:r>
      <w:r w:rsidRPr="00BB25DC">
        <w:rPr>
          <w:rStyle w:val="DefaultParagraphFont"/>
          <w:rFonts w:eastAsia="宋体" w:cs="Times New Roman" w:hint="eastAsia"/>
          <w:sz w:val="24"/>
          <w:szCs w:val="24"/>
          <w:shd w:val="clear" w:color="auto" w:fill="FFFFFF"/>
          <w:lang w:val="en-US" w:eastAsia="zh-CN" w:bidi="ar-SA"/>
        </w:rPr>
        <w:t>末商品及金融衍生</w:t>
      </w:r>
      <w:r w:rsidRPr="00BB25DC">
        <w:rPr>
          <w:rStyle w:val="DefaultParagraphFont"/>
          <w:rFonts w:eastAsia="宋体" w:cs="Times New Roman" w:hint="eastAsia"/>
          <w:sz w:val="24"/>
          <w:szCs w:val="24"/>
          <w:shd w:val="clear" w:color="auto" w:fill="FFFFFF"/>
          <w:lang w:val="en-US" w:eastAsia="zh-CN" w:bidi="ar-SA"/>
        </w:rPr>
        <w:t>品</w:t>
      </w:r>
      <w:r w:rsidRPr="00BB25DC">
        <w:rPr>
          <w:rStyle w:val="DefaultParagraphFont"/>
          <w:rFonts w:eastAsia="宋体" w:cs="Times New Roman"/>
          <w:sz w:val="24"/>
          <w:szCs w:val="24"/>
          <w:shd w:val="clear" w:color="auto" w:fill="FFFFFF"/>
          <w:lang w:val="en-US" w:eastAsia="zh-CN" w:bidi="ar-SA"/>
        </w:rPr>
        <w:t>资产</w:t>
      </w:r>
      <w:r w:rsidRPr="00BB25DC">
        <w:rPr>
          <w:rStyle w:val="DefaultParagraphFont"/>
          <w:rFonts w:eastAsia="宋体" w:cs="Times New Roman" w:hint="eastAsia"/>
          <w:sz w:val="24"/>
          <w:szCs w:val="24"/>
          <w:shd w:val="clear" w:color="auto" w:fill="FFFFFF"/>
          <w:lang w:val="en-US" w:eastAsia="zh-CN" w:bidi="ar-SA"/>
        </w:rPr>
        <w:t>信息</w:t>
      </w:r>
      <w:bookmarkEnd w:id="26"/>
    </w:p>
    <w:p w:rsidR="008B7BD8" w:rsidRPr="00E43FC7" w:rsidP="00BA42D8">
      <w:pPr>
        <w:pStyle w:val="Normal3"/>
        <w:ind w:firstLine="420" w:firstLineChars="200"/>
        <w:rPr>
          <w:rStyle w:val="DefaultParagraphFont"/>
          <w:rFonts w:ascii="宋体" w:eastAsia="宋体" w:hAnsi="宋体" w:cs="Times New Roman"/>
          <w:sz w:val="24"/>
          <w:shd w:val="clear" w:color="auto" w:fill="FFFFFF"/>
          <w:lang w:val="en-US" w:eastAsia="zh-CN" w:bidi="ar-SA"/>
        </w:rPr>
      </w:pPr>
      <w:r>
        <w:rPr>
          <w:rStyle w:val="DefaultParagraphFont"/>
          <w:rFonts w:ascii="宋体" w:eastAsia="宋体" w:hAnsi="宋体" w:cs="宋体"/>
          <w:b w:val="0"/>
          <w:color w:val="000000"/>
          <w:sz w:val="24"/>
          <w:lang w:val="en-US" w:eastAsia="zh-CN" w:bidi="ar-SA"/>
        </w:rPr>
        <w:t>无</w:t>
      </w:r>
    </w:p>
    <w:p w:rsidR="004B3394" w:rsidRPr="008B7BD8" w:rsidP="008B7BD8">
      <w:pPr>
        <w:pStyle w:val="Normal3"/>
        <w:rPr>
          <w:rStyle w:val="DefaultParagraphFont"/>
          <w:rFonts w:ascii="宋体" w:eastAsia="宋体" w:hAnsi="宋体" w:cs="Times New Roman"/>
          <w:lang w:val="en-US" w:eastAsia="zh-CN" w:bidi="ar-SA"/>
        </w:rPr>
      </w:pPr>
      <w:r>
        <w:rPr>
          <w:rStyle w:val="DefaultParagraphFont"/>
          <w:rFonts w:ascii="宋体" w:eastAsia="宋体" w:hAnsi="宋体" w:cs="宋体"/>
          <w:b w:val="0"/>
          <w:color w:val="000000"/>
          <w:lang w:val="en-US" w:eastAsia="zh-CN" w:bidi="ar-SA"/>
        </w:rPr>
        <w:t xml:space="preserve"> </w:t>
      </w:r>
    </w:p>
    <w:p w:rsidR="00B21928" w:rsidRPr="009A2C14" w:rsidP="009A2C14">
      <w:pPr>
        <w:pStyle w:val="Heading1"/>
        <w:jc w:val="center"/>
        <w:rPr>
          <w:rFonts w:ascii="宋体" w:hAnsi="宋体"/>
          <w:sz w:val="24"/>
          <w:szCs w:val="24"/>
          <w:shd w:val="clear" w:color="auto" w:fill="FFFFFF"/>
        </w:rPr>
      </w:pPr>
      <w:bookmarkStart w:id="27" w:name="_Toc256000017"/>
      <w:r w:rsidRPr="009A2C14">
        <w:rPr>
          <w:rFonts w:ascii="宋体" w:hAnsi="宋体" w:hint="eastAsia"/>
          <w:sz w:val="24"/>
          <w:szCs w:val="24"/>
          <w:shd w:val="clear" w:color="auto" w:fill="FFFFFF"/>
        </w:rPr>
        <w:t>§</w:t>
      </w:r>
      <w:r w:rsidRPr="009A2C14">
        <w:rPr>
          <w:rFonts w:ascii="宋体" w:hAnsi="宋体"/>
          <w:sz w:val="24"/>
          <w:szCs w:val="24"/>
          <w:shd w:val="clear" w:color="auto" w:fill="FFFFFF"/>
        </w:rPr>
        <w:t>6</w:t>
      </w:r>
      <w:r w:rsidRPr="009A2C14">
        <w:rPr>
          <w:rFonts w:ascii="宋体" w:hAnsi="宋体" w:hint="eastAsia"/>
          <w:sz w:val="24"/>
          <w:szCs w:val="24"/>
          <w:shd w:val="clear" w:color="auto" w:fill="FFFFFF"/>
        </w:rPr>
        <w:t xml:space="preserve"> 托管人报告</w:t>
      </w:r>
      <w:bookmarkEnd w:id="27"/>
    </w:p>
    <w:p w:rsidR="00B21928" w:rsidRPr="009A2C14" w:rsidP="009A2C14">
      <w:pPr>
        <w:pStyle w:val="Heading2"/>
        <w:rPr>
          <w:sz w:val="24"/>
          <w:szCs w:val="24"/>
          <w:shd w:val="clear" w:color="auto" w:fill="FFFFFF"/>
        </w:rPr>
      </w:pPr>
      <w:bookmarkStart w:id="28" w:name="_Toc256000018"/>
      <w:r w:rsidRPr="009A2C14">
        <w:rPr>
          <w:sz w:val="24"/>
          <w:szCs w:val="24"/>
          <w:shd w:val="clear" w:color="auto" w:fill="FFFFFF"/>
        </w:rPr>
        <w:t>6</w:t>
      </w:r>
      <w:r w:rsidRPr="009A2C14">
        <w:rPr>
          <w:rFonts w:hint="eastAsia"/>
          <w:sz w:val="24"/>
          <w:szCs w:val="24"/>
          <w:shd w:val="clear" w:color="auto" w:fill="FFFFFF"/>
        </w:rPr>
        <w:t>.1 托管人报告</w:t>
      </w:r>
      <w:bookmarkEnd w:id="28"/>
    </w:p>
    <w:p w:rsidR="00114C66" w:rsidP="00114C66">
      <w:pPr>
        <w:ind w:firstLine="420" w:firstLineChars="200"/>
        <w:rPr>
          <w:rFonts w:ascii="宋体" w:hAnsi="宋体"/>
          <w:sz w:val="24"/>
          <w:szCs w:val="24"/>
          <w:shd w:val="clear" w:color="auto" w:fill="FFFFFF"/>
        </w:rPr>
      </w:pPr>
      <w:r>
        <w:rPr>
          <w:rFonts w:ascii="宋体" w:hAnsi="宋体" w:hint="eastAsia"/>
          <w:sz w:val="24"/>
          <w:szCs w:val="24"/>
          <w:shd w:val="clear" w:color="auto" w:fill="FFFFFF"/>
        </w:rPr>
        <w:t>6.1.1托管人履职情况</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（一）托管资产保管</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资产独立于托管人的自有资产及其托管的其他资产，不同投资账户之间的托管资产之间互相独立。托管人按照监管相关规定，完整保存与托管资产有关的会计档案、与托管资产有关的投资记录、指令和合同等。</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（二）会计核算和估值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托管人按照与管理人在托管协议中约定的统一记账方法和会计处理原则，独立地设置、登录和保管本产品的全套账册，进行会计核算和资产估值。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（三）定期核对有关数据</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托管人根据托管协议约定与管理人定期进行账务核对。</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（四）投资监督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托管人根据法规、托管协议以及双方约定的投资监督条款，对投资运作情况进行监督。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6.1.2托管人声明</w:t>
      </w:r>
    </w:p>
    <w:p w:rsidR="00B21928" w:rsidRPr="00114C66" w:rsidP="00114C66">
      <w:pPr>
        <w:ind w:firstLine="420" w:firstLineChars="200"/>
        <w:rPr>
          <w:rFonts w:ascii="宋体" w:hAnsi="宋体"/>
          <w:sz w:val="24"/>
          <w:szCs w:val="24"/>
          <w:shd w:val="clear" w:color="auto" w:fill="FFFFFF"/>
        </w:rPr>
      </w:pPr>
      <w:bookmarkStart w:id="29" w:name="_GoBack"/>
      <w:bookmarkEnd w:id="29"/>
      <w:r>
        <w:rPr>
          <w:rFonts w:ascii="宋体" w:hAnsi="宋体" w:hint="eastAsia"/>
          <w:sz w:val="24"/>
          <w:szCs w:val="24"/>
          <w:shd w:val="clear" w:color="auto" w:fill="FFFFFF"/>
        </w:rPr>
        <w:t>托管人具备完善的公司治理结构、内部稽核监控制度和风险控制制度，托管人在本产品托管的过程中，严格遵守有关法律法规、托管协议的规定，尽职尽责地履行托管义</w:t>
      </w:r>
      <w:r>
        <w:rPr>
          <w:rFonts w:ascii="宋体" w:hAnsi="宋体" w:hint="eastAsia"/>
          <w:sz w:val="24"/>
          <w:szCs w:val="24"/>
          <w:shd w:val="clear" w:color="auto" w:fill="FFFFFF"/>
        </w:rPr>
        <w:t>务并安全保管托管资产。</w:t>
      </w:r>
    </w:p>
    <w:p w:rsidR="00E215B9" w:rsidP="00757F82"/>
    <w:p w:rsidR="008D77ED" w:rsidRPr="009A2C14" w:rsidP="008D77ED">
      <w:pPr>
        <w:jc w:val="right"/>
        <w:rPr>
          <w:rFonts w:ascii="宋体" w:hAnsi="宋体"/>
          <w:sz w:val="24"/>
          <w:szCs w:val="24"/>
        </w:rPr>
      </w:pPr>
      <w:r w:rsidRPr="009A2C14">
        <w:rPr>
          <w:sz w:val="24"/>
          <w:szCs w:val="24"/>
        </w:rPr>
        <w:t xml:space="preserve"> </w:t>
      </w:r>
      <w:r>
        <w:rPr>
          <w:rFonts w:ascii="宋体" w:eastAsia="宋体" w:hAnsi="宋体" w:cs="宋体"/>
          <w:b w:val="0"/>
          <w:i w:val="0"/>
          <w:color w:val="000000"/>
          <w:position w:val="-1"/>
          <w:sz w:val="24"/>
          <w:u w:val="none"/>
        </w:rPr>
        <w:t>招银理财有限责任公司</w:t>
      </w:r>
    </w:p>
    <w:p w:rsidR="00E35DF7" w:rsidRPr="009A2C14" w:rsidP="008D77ED">
      <w:pPr>
        <w:jc w:val="right"/>
        <w:rPr>
          <w:rFonts w:ascii="宋体" w:hAnsi="宋体"/>
          <w:sz w:val="24"/>
          <w:szCs w:val="24"/>
        </w:rPr>
      </w:pPr>
      <w:r>
        <w:rPr>
          <w:rFonts w:ascii="宋体" w:eastAsia="宋体" w:hAnsi="宋体" w:cs="宋体"/>
          <w:b w:val="0"/>
          <w:i w:val="0"/>
          <w:color w:val="000000"/>
          <w:position w:val="-1"/>
          <w:sz w:val="24"/>
          <w:u w:val="none"/>
        </w:rPr>
        <w:t>2024年12月31日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1"/>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8A10D2">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招银理财招睿丰和（信用精选）360天持有期1号固定收益类理财计划2024年年度</w:t>
    </w:r>
    <w:r w:rsidR="00536C4E">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107552</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786"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link w:val="30"/>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uiPriority w:val="99"/>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30">
    <w:name w:val="标题 3 字符"/>
    <w:basedOn w:val="DefaultParagraphFont"/>
    <w:link w:val="Heading3"/>
    <w:rsid w:val="00F6717A"/>
    <w:rPr>
      <w:rFonts w:ascii="宋体" w:hAnsi="宋体"/>
      <w:b/>
      <w:kern w:val="2"/>
      <w:sz w:val="26"/>
    </w:rPr>
  </w:style>
  <w:style w:type="character" w:customStyle="1" w:styleId="a5">
    <w:name w:val="脚注文本 字符"/>
    <w:link w:val="FootnoteText"/>
    <w:rsid w:val="008D77ED"/>
    <w:rPr>
      <w:kern w:val="2"/>
      <w:sz w:val="18"/>
    </w:rPr>
  </w:style>
  <w:style w:type="character" w:customStyle="1" w:styleId="2Char">
    <w:name w:val="标题 2 Char"/>
    <w:rsid w:val="00491CFA"/>
    <w:rPr>
      <w:rFonts w:ascii="Arial" w:eastAsia="黑体" w:hAnsi="Arial"/>
      <w:b/>
      <w:kern w:val="2"/>
      <w:sz w:val="32"/>
      <w:lang w:val="en-US" w:eastAsia="zh-CN"/>
    </w:rPr>
  </w:style>
  <w:style w:type="paragraph" w:customStyle="1" w:styleId="ccb">
    <w:name w:val="ccb正文"/>
    <w:basedOn w:val="Normal"/>
    <w:qFormat/>
    <w:rsid w:val="00436AFF"/>
    <w:pPr>
      <w:spacing w:line="360" w:lineRule="auto"/>
      <w:ind w:firstLine="560" w:firstLineChars="200"/>
    </w:pPr>
    <w:rPr>
      <w:rFonts w:ascii="彩虹小标宋" w:eastAsia="彩虹小标宋" w:hAnsi="宋体" w:cs="宋体"/>
      <w:color w:val="000000"/>
      <w:sz w:val="28"/>
      <w:szCs w:val="28"/>
    </w:rPr>
  </w:style>
  <w:style w:type="paragraph" w:customStyle="1" w:styleId="Normal0">
    <w:name w:val="Normal_0"/>
    <w:qFormat/>
    <w:pPr>
      <w:widowControl w:val="0"/>
      <w:jc w:val="both"/>
    </w:pPr>
    <w:rPr>
      <w:rFonts w:ascii="Times New Roman" w:eastAsia="宋体" w:hAnsi="Times New Roman" w:cs="Times New Roman"/>
      <w:kern w:val="2"/>
      <w:sz w:val="21"/>
      <w:lang w:val="en-US" w:eastAsia="zh-CN" w:bidi="ar-SA"/>
    </w:rPr>
  </w:style>
  <w:style w:type="paragraph" w:customStyle="1" w:styleId="Heading20">
    <w:name w:val="Heading 2_0"/>
    <w:basedOn w:val="Normal1"/>
    <w:next w:val="Normal1"/>
    <w:link w:val="200"/>
    <w:qFormat/>
    <w:rsid w:val="00EA25B3"/>
    <w:pPr>
      <w:keepNext/>
      <w:keepLines/>
      <w:spacing w:before="260" w:after="260" w:line="412" w:lineRule="auto"/>
      <w:outlineLvl w:val="1"/>
    </w:pPr>
    <w:rPr>
      <w:rFonts w:ascii="宋体" w:hAnsi="宋体" w:hint="eastAsia"/>
      <w:b/>
      <w:sz w:val="26"/>
    </w:rPr>
  </w:style>
  <w:style w:type="paragraph" w:customStyle="1" w:styleId="Normal1">
    <w:name w:val="Normal_1"/>
    <w:qFormat/>
    <w:rsid w:val="00EA25B3"/>
    <w:pPr>
      <w:widowControl w:val="0"/>
      <w:jc w:val="both"/>
    </w:pPr>
    <w:rPr>
      <w:kern w:val="2"/>
      <w:sz w:val="21"/>
    </w:rPr>
  </w:style>
  <w:style w:type="character" w:customStyle="1" w:styleId="200">
    <w:name w:val="标题 2 字符_0"/>
    <w:basedOn w:val="DefaultParagraphFont"/>
    <w:link w:val="Heading20"/>
    <w:rsid w:val="00EA25B3"/>
    <w:rPr>
      <w:rFonts w:ascii="宋体" w:eastAsia="宋体" w:hAnsi="宋体" w:cs="宋体" w:hint="eastAsia"/>
      <w:b/>
      <w:kern w:val="2"/>
      <w:sz w:val="26"/>
    </w:rPr>
  </w:style>
  <w:style w:type="paragraph" w:customStyle="1" w:styleId="Heading21">
    <w:name w:val="Heading 2_1"/>
    <w:basedOn w:val="Normal2"/>
    <w:next w:val="Normal2"/>
    <w:link w:val="21"/>
    <w:qFormat/>
    <w:rsid w:val="00916742"/>
    <w:pPr>
      <w:keepNext/>
      <w:keepLines/>
      <w:spacing w:before="260" w:after="260" w:line="413" w:lineRule="auto"/>
      <w:outlineLvl w:val="1"/>
    </w:pPr>
    <w:rPr>
      <w:rFonts w:ascii="宋体" w:hAnsi="宋体"/>
      <w:b/>
      <w:sz w:val="26"/>
      <w:szCs w:val="20"/>
    </w:rPr>
  </w:style>
  <w:style w:type="paragraph" w:customStyle="1" w:styleId="Normal2">
    <w:name w:val="Normal_2"/>
    <w:qFormat/>
    <w:rsid w:val="00DB6AAD"/>
    <w:pPr>
      <w:widowControl w:val="0"/>
      <w:jc w:val="both"/>
    </w:pPr>
    <w:rPr>
      <w:rFonts w:ascii="Calibri" w:hAnsi="Calibri"/>
      <w:kern w:val="2"/>
      <w:sz w:val="21"/>
      <w:szCs w:val="22"/>
    </w:rPr>
  </w:style>
  <w:style w:type="character" w:customStyle="1" w:styleId="21">
    <w:name w:val="标题 2 字符_1"/>
    <w:link w:val="Heading21"/>
    <w:rsid w:val="00916742"/>
    <w:rPr>
      <w:rFonts w:ascii="宋体" w:hAnsi="宋体"/>
      <w:b/>
      <w:kern w:val="2"/>
      <w:sz w:val="26"/>
    </w:rPr>
  </w:style>
  <w:style w:type="paragraph" w:customStyle="1" w:styleId="Heading22">
    <w:name w:val="Heading 2_2"/>
    <w:basedOn w:val="Normal3"/>
    <w:next w:val="Normal3"/>
    <w:link w:val="22"/>
    <w:qFormat/>
    <w:rsid w:val="00916742"/>
    <w:pPr>
      <w:keepNext/>
      <w:keepLines/>
      <w:spacing w:before="260" w:after="260" w:line="413" w:lineRule="auto"/>
      <w:outlineLvl w:val="1"/>
    </w:pPr>
    <w:rPr>
      <w:rFonts w:ascii="宋体" w:hAnsi="宋体"/>
      <w:b/>
      <w:sz w:val="26"/>
      <w:szCs w:val="20"/>
    </w:rPr>
  </w:style>
  <w:style w:type="paragraph" w:customStyle="1" w:styleId="Normal3">
    <w:name w:val="Normal_3"/>
    <w:qFormat/>
    <w:rsid w:val="00DB6AAD"/>
    <w:pPr>
      <w:widowControl w:val="0"/>
      <w:jc w:val="both"/>
    </w:pPr>
    <w:rPr>
      <w:rFonts w:ascii="Calibri" w:hAnsi="Calibri"/>
      <w:kern w:val="2"/>
      <w:sz w:val="21"/>
      <w:szCs w:val="22"/>
    </w:rPr>
  </w:style>
  <w:style w:type="character" w:customStyle="1" w:styleId="22">
    <w:name w:val="标题 2 字符_2"/>
    <w:link w:val="Heading22"/>
    <w:rsid w:val="00916742"/>
    <w:rPr>
      <w:rFonts w:ascii="宋体" w:hAnsi="宋体"/>
      <w:b/>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9ABD-A3C3-4586-BF27-4A3E655D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641</Words>
  <Characters>3656</Characters>
  <Application>Microsoft Office Word</Application>
  <DocSecurity>0</DocSecurity>
  <Lines>30</Lines>
  <Paragraphs>8</Paragraphs>
  <ScaleCrop>false</ScaleCrop>
  <Company>WwW.YlmF.CoM</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2025-03-24T08:24:00Z</dcterms:created>
  <dc:creator>CSRC</dc:creator>
  <cp:lastModifiedBy>胡伟</cp:lastModifiedBy>
  <cp:lastPrinted>2019-06-25T10:32:00Z</cp:lastPrinted>
  <dcterms:modified xsi:type="dcterms:W3CDTF">2025-03-24T08:24:00Z</dcterms:modified>
  <cp:revision>3</cp:revision>
  <dc:subject>非货币</dc:subject>
  <dc:title>证券投资基金信息披露XBRL标引规范第2号&lt;半年度报告摘要&gt;</dc:title>
</cp:coreProperties>
</file>