
<file path=[Content_Types].xml><?xml version="1.0" encoding="utf-8"?>
<Types xmlns="http://schemas.openxmlformats.org/package/2006/content-types">
  <Default ContentType="application/vnd.openxmlformats-package.relationships+xml" Extension="rels"/>
  <Default ContentType="application/xml" Extension="xml"/>
  <Override ContentType="application/xml" PartName="/customXml/item1.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app.xml" Type="http://schemas.openxmlformats.org/officeDocument/2006/relationships/extended-properties"/>
<Relationship Id="rId3" Target="docProps/core.xml" Type="http://schemas.openxmlformats.org/package/2006/relationships/metadata/core-properties"/>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15.11.0.0 -->
  <w:background w:color="ffffff">
    <v:background id="_x0000_s1025" filled="t"/>
  </w:background>
  <w:body>
    <w:p w:rsidR="00680F50" w:rsidRPr="004C7F8B" w:rsidP="00E157CE">
      <w:pPr>
        <w:jc w:val="center"/>
        <w:rPr>
          <w:rFonts w:ascii="宋体" w:hAnsi="宋体"/>
          <w:b/>
          <w:color w:val="000000"/>
          <w:sz w:val="32"/>
          <w:szCs w:val="32"/>
          <w:shd w:val="clear" w:color="auto" w:fill="FFFFFF"/>
        </w:rPr>
      </w:pPr>
      <w:r>
        <w:rPr>
          <w:rFonts w:ascii="宋体" w:hAnsi="宋体" w:hint="eastAsia"/>
          <w:b/>
          <w:color w:val="000000"/>
          <w:sz w:val="32"/>
          <w:szCs w:val="32"/>
          <w:shd w:val="clear" w:color="auto" w:fill="FFFFFF"/>
        </w:rPr>
        <w:t xml:space="preserve"> </w:t>
      </w:r>
    </w:p>
    <w:p w:rsidR="00680F50" w:rsidRPr="004C7F8B" w:rsidP="00E157CE">
      <w:pPr>
        <w:jc w:val="center"/>
        <w:rPr>
          <w:rFonts w:ascii="宋体" w:hAnsi="宋体"/>
          <w:b/>
          <w:color w:val="000000"/>
          <w:sz w:val="32"/>
          <w:szCs w:val="32"/>
          <w:shd w:val="clear" w:color="auto" w:fill="FFFFFF"/>
        </w:rPr>
      </w:pPr>
    </w:p>
    <w:p w:rsidR="00120F3B" w:rsidP="00120F3B">
      <w:pPr>
        <w:jc w:val="center"/>
        <w:rPr>
          <w:rFonts w:ascii="宋体" w:hAnsi="宋体"/>
          <w:b/>
          <w:color w:val="000000"/>
          <w:sz w:val="32"/>
          <w:szCs w:val="32"/>
          <w:shd w:val="clear" w:color="auto" w:fill="FFFFFF"/>
        </w:rPr>
      </w:pPr>
      <w:r>
        <w:rPr>
          <w:rFonts w:ascii="宋体" w:eastAsia="宋体" w:hAnsi="宋体" w:cs="宋体"/>
          <w:b/>
          <w:i w:val="0"/>
          <w:color w:val="000000"/>
          <w:position w:val="-1"/>
          <w:sz w:val="32"/>
          <w:u w:val="none"/>
        </w:rPr>
        <w:t>招银理财招睿丰和（短债）14天持有期1号固定收益类理财计划</w:t>
      </w:r>
    </w:p>
    <w:p w:rsidR="00AF5DEE" w:rsidRPr="004C7F8B" w:rsidP="00AF5DEE">
      <w:pPr>
        <w:jc w:val="center"/>
        <w:rPr>
          <w:rFonts w:ascii="宋体" w:hAnsi="宋体"/>
          <w:b/>
          <w:color w:val="000000"/>
          <w:sz w:val="32"/>
          <w:szCs w:val="32"/>
          <w:shd w:val="clear" w:color="auto" w:fill="FFFFFF"/>
        </w:rPr>
      </w:pPr>
      <w:r>
        <w:rPr>
          <w:rFonts w:ascii="宋体" w:eastAsia="宋体" w:hAnsi="宋体" w:cs="宋体"/>
          <w:b/>
          <w:i w:val="0"/>
          <w:color w:val="000000"/>
          <w:position w:val="-1"/>
          <w:sz w:val="32"/>
          <w:u w:val="none"/>
        </w:rPr>
        <w:t>2024</w:t>
      </w:r>
      <w:r w:rsidR="000D55A6">
        <w:rPr>
          <w:rFonts w:ascii="宋体" w:hAnsi="宋体" w:hint="eastAsia"/>
          <w:b/>
          <w:color w:val="000000"/>
          <w:sz w:val="32"/>
          <w:szCs w:val="32"/>
          <w:shd w:val="clear" w:color="auto" w:fill="FFFFFF"/>
        </w:rPr>
        <w:t>年</w:t>
      </w:r>
      <w:r>
        <w:rPr>
          <w:rFonts w:ascii="宋体" w:eastAsia="宋体" w:hAnsi="宋体" w:cs="宋体"/>
          <w:b/>
          <w:i w:val="0"/>
          <w:color w:val="000000"/>
          <w:position w:val="-1"/>
          <w:sz w:val="32"/>
          <w:u w:val="none"/>
        </w:rPr>
        <w:t>年度</w:t>
      </w:r>
      <w:r w:rsidRPr="004C7F8B">
        <w:rPr>
          <w:rFonts w:ascii="宋体" w:hAnsi="宋体" w:hint="eastAsia"/>
          <w:b/>
          <w:color w:val="000000"/>
          <w:sz w:val="32"/>
          <w:szCs w:val="32"/>
          <w:shd w:val="clear" w:color="auto" w:fill="FFFFFF"/>
        </w:rPr>
        <w:t>报告</w:t>
      </w:r>
    </w:p>
    <w:p w:rsidR="00AF5DEE" w:rsidRPr="004C7F8B" w:rsidP="00AF5DEE">
      <w:pPr>
        <w:jc w:val="center"/>
        <w:rPr>
          <w:rFonts w:ascii="宋体" w:hAnsi="宋体"/>
          <w:b/>
          <w:sz w:val="32"/>
          <w:szCs w:val="32"/>
          <w:shd w:val="clear" w:color="auto" w:fill="FFFFFF"/>
        </w:rPr>
      </w:pPr>
      <w:r w:rsidRPr="004C7F8B">
        <w:rPr>
          <w:rFonts w:ascii="宋体" w:hAnsi="宋体" w:hint="eastAsia"/>
          <w:b/>
          <w:sz w:val="32"/>
          <w:szCs w:val="32"/>
          <w:shd w:val="clear" w:color="auto" w:fill="FFFFFF"/>
        </w:rPr>
        <w:t>（</w:t>
      </w:r>
      <w:r w:rsidR="00536C4E">
        <w:rPr>
          <w:rFonts w:ascii="宋体" w:hAnsi="宋体" w:hint="eastAsia"/>
          <w:b/>
          <w:sz w:val="32"/>
          <w:szCs w:val="32"/>
          <w:shd w:val="clear" w:color="auto" w:fill="FFFFFF"/>
        </w:rPr>
        <w:t>产品</w:t>
      </w:r>
      <w:r w:rsidRPr="004C7F8B">
        <w:rPr>
          <w:rFonts w:ascii="宋体" w:hAnsi="宋体"/>
          <w:b/>
          <w:sz w:val="32"/>
          <w:szCs w:val="32"/>
          <w:shd w:val="clear" w:color="auto" w:fill="FFFFFF"/>
        </w:rPr>
        <w:t>代码：</w:t>
      </w:r>
      <w:r>
        <w:rPr>
          <w:rFonts w:ascii="宋体" w:eastAsia="宋体" w:hAnsi="宋体" w:cs="宋体"/>
          <w:b/>
          <w:i w:val="0"/>
          <w:color w:val="000000"/>
          <w:position w:val="-1"/>
          <w:sz w:val="32"/>
          <w:u w:val="none"/>
        </w:rPr>
        <w:t>107514</w:t>
      </w:r>
      <w:r w:rsidRPr="004C7F8B">
        <w:rPr>
          <w:rFonts w:ascii="宋体" w:hAnsi="宋体" w:hint="eastAsia"/>
          <w:b/>
          <w:sz w:val="32"/>
          <w:szCs w:val="32"/>
          <w:shd w:val="clear" w:color="auto" w:fill="FFFFFF"/>
        </w:rPr>
        <w:t>）</w:t>
      </w:r>
    </w:p>
    <w:p w:rsidR="00AF5DEE" w:rsidRPr="00B66A56" w:rsidP="00AF5DEE">
      <w:pPr>
        <w:jc w:val="center"/>
        <w:rPr>
          <w:rFonts w:ascii="宋体" w:hAnsi="宋体"/>
          <w:b/>
          <w:sz w:val="32"/>
          <w:szCs w:val="32"/>
          <w:shd w:val="clear" w:color="auto" w:fill="FFFFFF"/>
        </w:rPr>
      </w:pPr>
    </w:p>
    <w:p w:rsidR="00AF5DEE" w:rsidP="00AF5DEE">
      <w:pPr>
        <w:jc w:val="center"/>
        <w:rPr>
          <w:rFonts w:ascii="宋体" w:hAnsi="宋体"/>
          <w:sz w:val="24"/>
          <w:shd w:val="clear" w:color="auto" w:fill="FFFFFF"/>
        </w:rPr>
      </w:pPr>
    </w:p>
    <w:p w:rsidR="00AF5DEE" w:rsidRPr="007105A2" w:rsidP="00AF5DEE">
      <w:pPr>
        <w:jc w:val="center"/>
        <w:rPr>
          <w:rFonts w:ascii="宋体" w:hAnsi="宋体"/>
          <w:sz w:val="24"/>
          <w:shd w:val="clear" w:color="auto" w:fill="FFFFFF"/>
        </w:rPr>
      </w:pPr>
    </w:p>
    <w:p w:rsidR="00AF5DEE" w:rsidP="00AF5DEE">
      <w:pPr>
        <w:jc w:val="center"/>
        <w:rPr>
          <w:rFonts w:ascii="宋体" w:hAnsi="宋体"/>
          <w:sz w:val="24"/>
          <w:shd w:val="clear" w:color="auto" w:fill="FFFFFF"/>
        </w:rPr>
      </w:pPr>
    </w:p>
    <w:p w:rsidR="00AF5DEE" w:rsidP="00AF5DEE">
      <w:pPr>
        <w:jc w:val="center"/>
        <w:rPr>
          <w:rFonts w:ascii="宋体" w:hAnsi="宋体"/>
          <w:sz w:val="24"/>
          <w:shd w:val="clear" w:color="auto" w:fill="FFFFFF"/>
        </w:rPr>
      </w:pPr>
    </w:p>
    <w:p w:rsidR="00AF5DEE" w:rsidP="00AF5DEE">
      <w:pPr>
        <w:jc w:val="center"/>
        <w:rPr>
          <w:rFonts w:ascii="宋体" w:hAnsi="宋体"/>
          <w:sz w:val="24"/>
          <w:shd w:val="clear" w:color="auto" w:fill="FFFFFF"/>
        </w:rPr>
      </w:pPr>
    </w:p>
    <w:p w:rsidR="00AF5DEE" w:rsidP="00AF5DEE">
      <w:pPr>
        <w:jc w:val="center"/>
        <w:rPr>
          <w:rFonts w:ascii="宋体" w:hAnsi="宋体"/>
          <w:sz w:val="24"/>
          <w:shd w:val="clear" w:color="auto" w:fill="FFFFFF"/>
        </w:rPr>
      </w:pPr>
    </w:p>
    <w:p w:rsidR="00AF5DEE" w:rsidP="00AF5DEE">
      <w:pPr>
        <w:jc w:val="center"/>
        <w:rPr>
          <w:rFonts w:ascii="宋体" w:hAnsi="宋体"/>
          <w:sz w:val="24"/>
          <w:shd w:val="clear" w:color="auto" w:fill="FFFFFF"/>
        </w:rPr>
      </w:pPr>
    </w:p>
    <w:p w:rsidR="00AF5DEE" w:rsidRPr="00D02D02" w:rsidP="00AF5DEE">
      <w:pPr>
        <w:jc w:val="center"/>
        <w:rPr>
          <w:rFonts w:ascii="宋体" w:hAnsi="宋体"/>
          <w:sz w:val="24"/>
          <w:shd w:val="clear" w:color="auto" w:fill="FFFFFF"/>
        </w:rPr>
      </w:pPr>
    </w:p>
    <w:p w:rsidR="00AF5DEE" w:rsidP="00AF5DEE">
      <w:pPr>
        <w:jc w:val="center"/>
        <w:rPr>
          <w:rFonts w:ascii="宋体" w:hAnsi="宋体"/>
          <w:sz w:val="24"/>
          <w:shd w:val="clear" w:color="auto" w:fill="FFFFFF"/>
        </w:rPr>
      </w:pPr>
    </w:p>
    <w:p w:rsidR="00AF5DEE" w:rsidP="00AF5DEE">
      <w:pPr>
        <w:jc w:val="center"/>
        <w:rPr>
          <w:rFonts w:ascii="宋体" w:hAnsi="宋体"/>
          <w:sz w:val="24"/>
          <w:shd w:val="clear" w:color="auto" w:fill="FFFFFF"/>
        </w:rPr>
      </w:pPr>
    </w:p>
    <w:p w:rsidR="00AF5DEE" w:rsidP="00AF5DEE">
      <w:pPr>
        <w:jc w:val="center"/>
        <w:rPr>
          <w:rFonts w:ascii="宋体" w:hAnsi="宋体"/>
          <w:sz w:val="24"/>
          <w:shd w:val="clear" w:color="auto" w:fill="FFFFFF"/>
        </w:rPr>
      </w:pPr>
    </w:p>
    <w:p w:rsidR="00AF5DEE" w:rsidP="00AF5DEE">
      <w:pPr>
        <w:jc w:val="center"/>
        <w:rPr>
          <w:rFonts w:ascii="宋体" w:hAnsi="宋体"/>
          <w:sz w:val="24"/>
          <w:shd w:val="clear" w:color="auto" w:fill="FFFFFF"/>
        </w:rPr>
      </w:pPr>
    </w:p>
    <w:p w:rsidR="00AF5DEE" w:rsidP="00AF5DEE">
      <w:pPr>
        <w:jc w:val="center"/>
        <w:rPr>
          <w:rFonts w:ascii="宋体" w:hAnsi="宋体"/>
          <w:sz w:val="24"/>
          <w:shd w:val="clear" w:color="auto" w:fill="FFFFFF"/>
        </w:rPr>
      </w:pPr>
    </w:p>
    <w:p w:rsidR="00AF5DEE" w:rsidP="00AF5DEE">
      <w:pPr>
        <w:jc w:val="center"/>
        <w:rPr>
          <w:rFonts w:ascii="宋体" w:hAnsi="宋体"/>
          <w:sz w:val="24"/>
          <w:shd w:val="clear" w:color="auto" w:fill="FFFFFF"/>
        </w:rPr>
      </w:pPr>
    </w:p>
    <w:p w:rsidR="00AF5DEE" w:rsidP="00AF5DEE">
      <w:pPr>
        <w:jc w:val="center"/>
        <w:rPr>
          <w:rFonts w:ascii="宋体" w:hAnsi="宋体"/>
          <w:sz w:val="24"/>
          <w:shd w:val="clear" w:color="auto" w:fill="FFFFFF"/>
        </w:rPr>
      </w:pPr>
    </w:p>
    <w:p w:rsidR="00AF5DEE" w:rsidP="00AF5DEE">
      <w:pPr>
        <w:jc w:val="center"/>
        <w:rPr>
          <w:rFonts w:ascii="宋体" w:hAnsi="宋体"/>
          <w:sz w:val="24"/>
          <w:shd w:val="clear" w:color="auto" w:fill="FFFFFF"/>
        </w:rPr>
      </w:pPr>
    </w:p>
    <w:p w:rsidR="00AF5DEE" w:rsidP="00AF5DEE">
      <w:pPr>
        <w:jc w:val="center"/>
        <w:rPr>
          <w:rFonts w:ascii="宋体" w:hAnsi="宋体"/>
          <w:sz w:val="24"/>
          <w:shd w:val="clear" w:color="auto" w:fill="FFFFFF"/>
        </w:rPr>
      </w:pPr>
    </w:p>
    <w:p w:rsidR="00AF5DEE" w:rsidRPr="007D03D5" w:rsidP="00AF5DEE">
      <w:pPr>
        <w:jc w:val="center"/>
        <w:rPr>
          <w:rFonts w:ascii="宋体" w:hAnsi="宋体"/>
          <w:sz w:val="24"/>
          <w:shd w:val="clear" w:color="auto" w:fill="FFFFFF"/>
        </w:rPr>
      </w:pPr>
    </w:p>
    <w:p w:rsidR="00AF5DEE" w:rsidRPr="004C7F8B" w:rsidP="00AF5DEE">
      <w:pPr>
        <w:jc w:val="center"/>
        <w:rPr>
          <w:rFonts w:ascii="宋体" w:hAnsi="宋体"/>
          <w:sz w:val="24"/>
          <w:shd w:val="clear" w:color="auto" w:fill="FFFFFF"/>
        </w:rPr>
      </w:pPr>
    </w:p>
    <w:p w:rsidR="00AF5DEE" w:rsidRPr="004C7F8B" w:rsidP="00AF5DEE">
      <w:pPr>
        <w:spacing w:line="360" w:lineRule="auto"/>
        <w:ind w:firstLine="1890" w:firstLineChars="900"/>
        <w:rPr>
          <w:rFonts w:ascii="宋体" w:hAnsi="宋体"/>
          <w:sz w:val="24"/>
          <w:shd w:val="clear" w:color="auto" w:fill="FFFFFF"/>
        </w:rPr>
      </w:pPr>
      <w:r w:rsidRPr="004C7F8B">
        <w:rPr>
          <w:rFonts w:ascii="宋体" w:hAnsi="宋体"/>
          <w:sz w:val="24"/>
          <w:shd w:val="clear" w:color="auto" w:fill="FFFFFF"/>
        </w:rPr>
        <w:t>理财产品管理人：</w:t>
      </w:r>
      <w:r>
        <w:rPr>
          <w:rFonts w:ascii="宋体" w:eastAsia="宋体" w:hAnsi="宋体" w:cs="宋体"/>
          <w:b w:val="0"/>
          <w:i w:val="0"/>
          <w:color w:val="000000"/>
          <w:position w:val="-1"/>
          <w:sz w:val="24"/>
          <w:u w:val="none"/>
        </w:rPr>
        <w:t>招银理财有限责任公司</w:t>
      </w:r>
    </w:p>
    <w:p w:rsidR="00AF5DEE" w:rsidRPr="004C7F8B" w:rsidP="00F17D61">
      <w:pPr>
        <w:spacing w:line="360" w:lineRule="auto"/>
        <w:ind w:firstLine="1890" w:firstLineChars="900"/>
        <w:rPr>
          <w:rFonts w:ascii="宋体" w:hAnsi="宋体"/>
          <w:sz w:val="24"/>
          <w:shd w:val="clear" w:color="auto" w:fill="FFFFFF"/>
        </w:rPr>
      </w:pPr>
      <w:r w:rsidRPr="004C7F8B">
        <w:rPr>
          <w:rFonts w:ascii="宋体" w:hAnsi="宋体"/>
          <w:sz w:val="24"/>
          <w:shd w:val="clear" w:color="auto" w:fill="FFFFFF"/>
        </w:rPr>
        <w:t>理财产品托管人：</w:t>
      </w:r>
      <w:r>
        <w:rPr>
          <w:rFonts w:ascii="宋体" w:eastAsia="宋体" w:hAnsi="宋体" w:cs="宋体"/>
          <w:b w:val="0"/>
          <w:i w:val="0"/>
          <w:color w:val="000000"/>
          <w:position w:val="-1"/>
          <w:sz w:val="24"/>
          <w:u w:val="none"/>
        </w:rPr>
        <w:t>招商银行股份有限公司</w:t>
      </w:r>
    </w:p>
    <w:p w:rsidR="0028648D">
      <w:pPr>
        <w:jc w:val="center"/>
        <w:rPr>
          <w:rFonts w:ascii="宋体" w:hAnsi="宋体"/>
          <w:b/>
          <w:sz w:val="32"/>
          <w:szCs w:val="32"/>
          <w:shd w:val="clear" w:color="auto" w:fill="FFFFFF"/>
        </w:rPr>
      </w:pPr>
    </w:p>
    <w:p w:rsidR="00AF5DEE">
      <w:pPr>
        <w:jc w:val="center"/>
        <w:rPr>
          <w:rFonts w:ascii="宋体" w:hAnsi="宋体"/>
          <w:b/>
          <w:sz w:val="32"/>
          <w:szCs w:val="32"/>
          <w:shd w:val="clear" w:color="auto" w:fill="FFFFFF"/>
        </w:rPr>
      </w:pPr>
    </w:p>
    <w:p w:rsidR="00AF5DEE">
      <w:pPr>
        <w:jc w:val="center"/>
        <w:rPr>
          <w:rFonts w:ascii="宋体" w:hAnsi="宋体"/>
          <w:b/>
          <w:sz w:val="32"/>
          <w:szCs w:val="32"/>
          <w:shd w:val="clear" w:color="auto" w:fill="FFFFFF"/>
        </w:rPr>
      </w:pPr>
    </w:p>
    <w:p w:rsidR="00AF5DEE" w:rsidRPr="00AF5DEE">
      <w:pPr>
        <w:jc w:val="center"/>
        <w:rPr>
          <w:rFonts w:ascii="宋体" w:hAnsi="宋体"/>
          <w:b/>
          <w:sz w:val="32"/>
          <w:szCs w:val="32"/>
          <w:shd w:val="clear" w:color="auto" w:fill="FFFFFF"/>
        </w:rPr>
      </w:pPr>
    </w:p>
    <w:p w:rsidR="00680F50" w:rsidRPr="004C7F8B">
      <w:pPr>
        <w:jc w:val="center"/>
        <w:rPr>
          <w:rFonts w:ascii="宋体" w:hAnsi="宋体"/>
          <w:b/>
          <w:sz w:val="32"/>
          <w:szCs w:val="32"/>
          <w:shd w:val="clear" w:color="auto" w:fill="FFFFFF"/>
        </w:rPr>
      </w:pPr>
    </w:p>
    <w:p w:rsidR="00380479" w:rsidRPr="004C7F8B">
      <w:pPr>
        <w:jc w:val="center"/>
        <w:rPr>
          <w:rFonts w:ascii="宋体" w:hAnsi="宋体"/>
          <w:b/>
          <w:sz w:val="30"/>
          <w:shd w:val="clear" w:color="auto" w:fill="FFFFFF"/>
        </w:rPr>
      </w:pPr>
      <w:r w:rsidRPr="004C7F8B">
        <w:rPr>
          <w:rFonts w:ascii="宋体" w:hAnsi="宋体" w:hint="eastAsia"/>
          <w:b/>
          <w:sz w:val="30"/>
          <w:shd w:val="clear" w:color="auto" w:fill="FFFFFF"/>
        </w:rPr>
        <w:t>目    录</w:t>
      </w:r>
    </w:p>
    <w:p w:rsidR="00380479" w:rsidRPr="004C7F8B">
      <w:pPr>
        <w:jc w:val="center"/>
        <w:rPr>
          <w:rFonts w:ascii="宋体" w:hAnsi="宋体"/>
          <w:b/>
          <w:sz w:val="30"/>
          <w:shd w:val="clear" w:color="auto" w:fill="FFFFFF"/>
        </w:rPr>
      </w:pPr>
    </w:p>
    <w:p>
      <w:pPr>
        <w:pStyle w:val="TOC1"/>
        <w:tabs>
          <w:tab w:val="right" w:leader="dot" w:pos="9060"/>
        </w:tabs>
        <w:rPr>
          <w:rFonts w:asciiTheme="minorHAnsi" w:hAnsiTheme="minorHAnsi"/>
          <w:noProof/>
          <w:sz w:val="22"/>
        </w:rPr>
      </w:pPr>
      <w:r>
        <w:fldChar w:fldCharType="begin"/>
      </w:r>
      <w:r>
        <w:instrText>TOC \o "1-2" \h \z \u</w:instrText>
      </w:r>
      <w:r>
        <w:fldChar w:fldCharType="separate"/>
      </w:r>
      <w:r>
        <w:fldChar w:fldCharType="begin"/>
      </w:r>
      <w:r>
        <w:rPr>
          <w:rStyle w:val="Hyperlink"/>
        </w:rPr>
        <w:instrText xml:space="preserve"> HYPERLINK \l "_Toc256000000" </w:instrText>
      </w:r>
      <w:r>
        <w:fldChar w:fldCharType="separate"/>
      </w:r>
      <w:r w:rsidRPr="00A642F9">
        <w:rPr>
          <w:rStyle w:val="Hyperlink"/>
          <w:rFonts w:ascii="宋体" w:hAnsi="宋体" w:hint="eastAsia"/>
          <w:shd w:val="clear" w:color="auto" w:fill="FFFFFF"/>
        </w:rPr>
        <w:t>§1 重要提示</w:t>
      </w:r>
      <w:r>
        <w:rPr>
          <w:rStyle w:val="Hyperlink"/>
        </w:rPr>
        <w:tab/>
      </w:r>
      <w:r>
        <w:fldChar w:fldCharType="begin"/>
      </w:r>
      <w:r>
        <w:rPr>
          <w:rStyle w:val="Hyperlink"/>
        </w:rPr>
        <w:instrText xml:space="preserve"> PAGEREF _Toc256000000 \h </w:instrText>
      </w:r>
      <w:r>
        <w:fldChar w:fldCharType="separate"/>
      </w:r>
      <w:r>
        <w:rPr>
          <w:rStyle w:val="Hyperlink"/>
        </w:rPr>
        <w:t>3</w:t>
      </w:r>
      <w:r>
        <w:fldChar w:fldCharType="end"/>
      </w:r>
      <w:r>
        <w:fldChar w:fldCharType="end"/>
      </w:r>
    </w:p>
    <w:p>
      <w:pPr>
        <w:pStyle w:val="TOC2"/>
        <w:tabs>
          <w:tab w:val="right" w:leader="dot" w:pos="9060"/>
        </w:tabs>
        <w:rPr>
          <w:rFonts w:asciiTheme="minorHAnsi" w:hAnsiTheme="minorHAnsi"/>
          <w:noProof/>
          <w:sz w:val="22"/>
        </w:rPr>
      </w:pPr>
      <w:r>
        <w:fldChar w:fldCharType="begin"/>
      </w:r>
      <w:r>
        <w:rPr>
          <w:rStyle w:val="Hyperlink"/>
        </w:rPr>
        <w:instrText xml:space="preserve"> HYPERLINK \l "_Toc256000001" </w:instrText>
      </w:r>
      <w:r>
        <w:fldChar w:fldCharType="separate"/>
      </w:r>
      <w:r w:rsidRPr="00A642F9">
        <w:rPr>
          <w:rStyle w:val="Hyperlink"/>
          <w:rFonts w:hint="eastAsia"/>
          <w:shd w:val="clear" w:color="auto" w:fill="FFFFFF"/>
        </w:rPr>
        <w:t>1.1 重要提示</w:t>
      </w:r>
      <w:r>
        <w:rPr>
          <w:rStyle w:val="Hyperlink"/>
        </w:rPr>
        <w:tab/>
      </w:r>
      <w:r>
        <w:fldChar w:fldCharType="begin"/>
      </w:r>
      <w:r>
        <w:rPr>
          <w:rStyle w:val="Hyperlink"/>
        </w:rPr>
        <w:instrText xml:space="preserve"> PAGEREF _Toc256000001 \h </w:instrText>
      </w:r>
      <w:r>
        <w:fldChar w:fldCharType="separate"/>
      </w:r>
      <w:r>
        <w:rPr>
          <w:rStyle w:val="Hyperlink"/>
        </w:rPr>
        <w:t>3</w:t>
      </w:r>
      <w:r>
        <w:fldChar w:fldCharType="end"/>
      </w:r>
      <w:r>
        <w:fldChar w:fldCharType="end"/>
      </w:r>
    </w:p>
    <w:p>
      <w:pPr>
        <w:pStyle w:val="TOC1"/>
        <w:tabs>
          <w:tab w:val="right" w:leader="dot" w:pos="9060"/>
        </w:tabs>
        <w:rPr>
          <w:rFonts w:asciiTheme="minorHAnsi" w:hAnsiTheme="minorHAnsi"/>
          <w:noProof/>
          <w:sz w:val="22"/>
        </w:rPr>
      </w:pPr>
      <w:r>
        <w:fldChar w:fldCharType="begin"/>
      </w:r>
      <w:r>
        <w:rPr>
          <w:rStyle w:val="Hyperlink"/>
        </w:rPr>
        <w:instrText xml:space="preserve"> HYPERLINK \l "_Toc256000002" </w:instrText>
      </w:r>
      <w:r>
        <w:fldChar w:fldCharType="separate"/>
      </w:r>
      <w:r w:rsidRPr="00A642F9">
        <w:rPr>
          <w:rStyle w:val="Hyperlink"/>
          <w:rFonts w:ascii="宋体" w:hAnsi="宋体" w:hint="eastAsia"/>
          <w:shd w:val="clear" w:color="auto" w:fill="FFFFFF"/>
        </w:rPr>
        <w:t>§2 理财产品简介</w:t>
      </w:r>
      <w:r>
        <w:rPr>
          <w:rStyle w:val="Hyperlink"/>
        </w:rPr>
        <w:tab/>
      </w:r>
      <w:r>
        <w:fldChar w:fldCharType="begin"/>
      </w:r>
      <w:r>
        <w:rPr>
          <w:rStyle w:val="Hyperlink"/>
        </w:rPr>
        <w:instrText xml:space="preserve"> PAGEREF _Toc256000002 \h </w:instrText>
      </w:r>
      <w:r>
        <w:fldChar w:fldCharType="separate"/>
      </w:r>
      <w:r>
        <w:rPr>
          <w:rStyle w:val="Hyperlink"/>
        </w:rPr>
        <w:t>3</w:t>
      </w:r>
      <w:r>
        <w:fldChar w:fldCharType="end"/>
      </w:r>
      <w:r>
        <w:fldChar w:fldCharType="end"/>
      </w:r>
    </w:p>
    <w:p>
      <w:pPr>
        <w:pStyle w:val="TOC2"/>
        <w:tabs>
          <w:tab w:val="right" w:leader="dot" w:pos="9060"/>
        </w:tabs>
        <w:rPr>
          <w:rFonts w:asciiTheme="minorHAnsi" w:hAnsiTheme="minorHAnsi"/>
          <w:noProof/>
          <w:sz w:val="22"/>
        </w:rPr>
      </w:pPr>
      <w:r>
        <w:fldChar w:fldCharType="begin"/>
      </w:r>
      <w:r>
        <w:rPr>
          <w:rStyle w:val="Hyperlink"/>
        </w:rPr>
        <w:instrText xml:space="preserve"> HYPERLINK \l "_Toc256000003" </w:instrText>
      </w:r>
      <w:r>
        <w:fldChar w:fldCharType="separate"/>
      </w:r>
      <w:r w:rsidRPr="00A642F9">
        <w:rPr>
          <w:rStyle w:val="Hyperlink"/>
          <w:rFonts w:hint="eastAsia"/>
          <w:shd w:val="clear" w:color="auto" w:fill="FFFFFF"/>
        </w:rPr>
        <w:t>2.1 理财产品基本情况</w:t>
      </w:r>
      <w:r>
        <w:rPr>
          <w:rStyle w:val="Hyperlink"/>
        </w:rPr>
        <w:tab/>
      </w:r>
      <w:r>
        <w:fldChar w:fldCharType="begin"/>
      </w:r>
      <w:r>
        <w:rPr>
          <w:rStyle w:val="Hyperlink"/>
        </w:rPr>
        <w:instrText xml:space="preserve"> PAGEREF _Toc256000003 \h </w:instrText>
      </w:r>
      <w:r>
        <w:fldChar w:fldCharType="separate"/>
      </w:r>
      <w:r>
        <w:rPr>
          <w:rStyle w:val="Hyperlink"/>
        </w:rPr>
        <w:t>3</w:t>
      </w:r>
      <w:r>
        <w:fldChar w:fldCharType="end"/>
      </w:r>
      <w:r>
        <w:fldChar w:fldCharType="end"/>
      </w:r>
    </w:p>
    <w:p>
      <w:pPr>
        <w:pStyle w:val="TOC1"/>
        <w:tabs>
          <w:tab w:val="right" w:leader="dot" w:pos="9060"/>
        </w:tabs>
        <w:rPr>
          <w:rFonts w:asciiTheme="minorHAnsi" w:hAnsiTheme="minorHAnsi"/>
          <w:noProof/>
          <w:sz w:val="22"/>
        </w:rPr>
      </w:pPr>
      <w:r>
        <w:fldChar w:fldCharType="begin"/>
      </w:r>
      <w:r>
        <w:rPr>
          <w:rStyle w:val="Hyperlink"/>
        </w:rPr>
        <w:instrText xml:space="preserve"> HYPERLINK \l "_Toc256000004" </w:instrText>
      </w:r>
      <w:r>
        <w:fldChar w:fldCharType="separate"/>
      </w:r>
      <w:r w:rsidRPr="00A642F9">
        <w:rPr>
          <w:rStyle w:val="Hyperlink"/>
          <w:rFonts w:ascii="宋体" w:hAnsi="宋体" w:hint="eastAsia"/>
          <w:shd w:val="clear" w:color="auto" w:fill="FFFFFF"/>
        </w:rPr>
        <w:t>§3 理财产品净值表现</w:t>
      </w:r>
      <w:r>
        <w:rPr>
          <w:rStyle w:val="Hyperlink"/>
        </w:rPr>
        <w:tab/>
      </w:r>
      <w:r>
        <w:fldChar w:fldCharType="begin"/>
      </w:r>
      <w:r>
        <w:rPr>
          <w:rStyle w:val="Hyperlink"/>
        </w:rPr>
        <w:instrText xml:space="preserve"> PAGEREF _Toc256000004 \h </w:instrText>
      </w:r>
      <w:r>
        <w:fldChar w:fldCharType="separate"/>
      </w:r>
      <w:r>
        <w:rPr>
          <w:rStyle w:val="Hyperlink"/>
        </w:rPr>
        <w:t>4</w:t>
      </w:r>
      <w:r>
        <w:fldChar w:fldCharType="end"/>
      </w:r>
      <w:r>
        <w:fldChar w:fldCharType="end"/>
      </w:r>
    </w:p>
    <w:p>
      <w:pPr>
        <w:pStyle w:val="TOC2"/>
        <w:tabs>
          <w:tab w:val="right" w:leader="dot" w:pos="9060"/>
        </w:tabs>
        <w:rPr>
          <w:rFonts w:asciiTheme="minorHAnsi" w:hAnsiTheme="minorHAnsi"/>
          <w:noProof/>
          <w:sz w:val="22"/>
        </w:rPr>
      </w:pPr>
      <w:r>
        <w:fldChar w:fldCharType="begin"/>
      </w:r>
      <w:r>
        <w:rPr>
          <w:rStyle w:val="Hyperlink"/>
        </w:rPr>
        <w:instrText xml:space="preserve"> HYPERLINK \l "_Toc256000005" </w:instrText>
      </w:r>
      <w:r>
        <w:fldChar w:fldCharType="separate"/>
      </w:r>
      <w:r w:rsidRPr="00A642F9">
        <w:rPr>
          <w:rStyle w:val="Hyperlink"/>
          <w:rFonts w:hint="eastAsia"/>
          <w:shd w:val="clear" w:color="auto" w:fill="FFFFFF"/>
        </w:rPr>
        <w:t>3.1 截至报告期末产品资产净值及份额净值</w:t>
      </w:r>
      <w:r>
        <w:rPr>
          <w:rStyle w:val="Hyperlink"/>
        </w:rPr>
        <w:tab/>
      </w:r>
      <w:r>
        <w:fldChar w:fldCharType="begin"/>
      </w:r>
      <w:r>
        <w:rPr>
          <w:rStyle w:val="Hyperlink"/>
        </w:rPr>
        <w:instrText xml:space="preserve"> PAGEREF _Toc256000005 \h </w:instrText>
      </w:r>
      <w:r>
        <w:fldChar w:fldCharType="separate"/>
      </w:r>
      <w:r>
        <w:rPr>
          <w:rStyle w:val="Hyperlink"/>
        </w:rPr>
        <w:t>4</w:t>
      </w:r>
      <w:r>
        <w:fldChar w:fldCharType="end"/>
      </w:r>
      <w:r>
        <w:fldChar w:fldCharType="end"/>
      </w:r>
    </w:p>
    <w:p>
      <w:pPr>
        <w:pStyle w:val="TOC2"/>
        <w:tabs>
          <w:tab w:val="right" w:leader="dot" w:pos="9060"/>
        </w:tabs>
        <w:rPr>
          <w:rFonts w:asciiTheme="minorHAnsi" w:hAnsiTheme="minorHAnsi"/>
          <w:noProof/>
          <w:sz w:val="22"/>
        </w:rPr>
      </w:pPr>
      <w:r>
        <w:fldChar w:fldCharType="begin"/>
      </w:r>
      <w:r>
        <w:rPr>
          <w:rStyle w:val="Hyperlink"/>
        </w:rPr>
        <w:instrText xml:space="preserve"> HYPERLINK \l "_Toc256000006" </w:instrText>
      </w:r>
      <w:r>
        <w:fldChar w:fldCharType="separate"/>
      </w:r>
      <w:r w:rsidRPr="00A642F9">
        <w:rPr>
          <w:rStyle w:val="Hyperlink"/>
          <w:rFonts w:hint="eastAsia"/>
          <w:shd w:val="clear" w:color="auto" w:fill="FFFFFF"/>
        </w:rPr>
        <w:t>3.2 理财产品年化收益率</w:t>
      </w:r>
      <w:r>
        <w:rPr>
          <w:rStyle w:val="Hyperlink"/>
        </w:rPr>
        <w:tab/>
      </w:r>
      <w:r>
        <w:fldChar w:fldCharType="begin"/>
      </w:r>
      <w:r>
        <w:rPr>
          <w:rStyle w:val="Hyperlink"/>
        </w:rPr>
        <w:instrText xml:space="preserve"> PAGEREF _Toc256000006 \h </w:instrText>
      </w:r>
      <w:r>
        <w:fldChar w:fldCharType="separate"/>
      </w:r>
      <w:r>
        <w:rPr>
          <w:rStyle w:val="Hyperlink"/>
        </w:rPr>
        <w:t>4</w:t>
      </w:r>
      <w:r>
        <w:fldChar w:fldCharType="end"/>
      </w:r>
      <w:r>
        <w:fldChar w:fldCharType="end"/>
      </w:r>
    </w:p>
    <w:p>
      <w:pPr>
        <w:pStyle w:val="TOC1"/>
        <w:tabs>
          <w:tab w:val="right" w:leader="dot" w:pos="9060"/>
        </w:tabs>
        <w:rPr>
          <w:rFonts w:asciiTheme="minorHAnsi" w:hAnsiTheme="minorHAnsi"/>
          <w:noProof/>
          <w:sz w:val="22"/>
        </w:rPr>
      </w:pPr>
      <w:r>
        <w:fldChar w:fldCharType="begin"/>
      </w:r>
      <w:r>
        <w:rPr>
          <w:rStyle w:val="Hyperlink"/>
        </w:rPr>
        <w:instrText xml:space="preserve"> HYPERLINK \l "_Toc256000007" </w:instrText>
      </w:r>
      <w:r>
        <w:fldChar w:fldCharType="separate"/>
      </w:r>
      <w:r w:rsidRPr="00A642F9">
        <w:rPr>
          <w:rStyle w:val="Hyperlink"/>
          <w:rFonts w:ascii="宋体" w:hAnsi="宋体" w:hint="eastAsia"/>
          <w:shd w:val="clear" w:color="auto" w:fill="FFFFFF"/>
        </w:rPr>
        <w:t>§4 管理人报告</w:t>
      </w:r>
      <w:r>
        <w:rPr>
          <w:rStyle w:val="Hyperlink"/>
        </w:rPr>
        <w:tab/>
      </w:r>
      <w:r>
        <w:fldChar w:fldCharType="begin"/>
      </w:r>
      <w:r>
        <w:rPr>
          <w:rStyle w:val="Hyperlink"/>
        </w:rPr>
        <w:instrText xml:space="preserve"> PAGEREF _Toc256000007 \h </w:instrText>
      </w:r>
      <w:r>
        <w:fldChar w:fldCharType="separate"/>
      </w:r>
      <w:r>
        <w:rPr>
          <w:rStyle w:val="Hyperlink"/>
        </w:rPr>
        <w:t>5</w:t>
      </w:r>
      <w:r>
        <w:fldChar w:fldCharType="end"/>
      </w:r>
      <w:r>
        <w:fldChar w:fldCharType="end"/>
      </w:r>
    </w:p>
    <w:p>
      <w:pPr>
        <w:pStyle w:val="TOC2"/>
        <w:tabs>
          <w:tab w:val="right" w:leader="dot" w:pos="9060"/>
        </w:tabs>
        <w:rPr>
          <w:rFonts w:asciiTheme="minorHAnsi" w:hAnsiTheme="minorHAnsi"/>
          <w:noProof/>
          <w:sz w:val="22"/>
        </w:rPr>
      </w:pPr>
      <w:r>
        <w:fldChar w:fldCharType="begin"/>
      </w:r>
      <w:r>
        <w:rPr>
          <w:rStyle w:val="Hyperlink"/>
        </w:rPr>
        <w:instrText xml:space="preserve"> HYPERLINK \l "_Toc256000008" </w:instrText>
      </w:r>
      <w:r>
        <w:fldChar w:fldCharType="separate"/>
      </w:r>
      <w:r w:rsidRPr="00A642F9">
        <w:rPr>
          <w:rStyle w:val="Hyperlink"/>
          <w:rFonts w:hint="eastAsia"/>
          <w:shd w:val="clear" w:color="auto" w:fill="FFFFFF"/>
        </w:rPr>
        <w:t>4.1 管理人对报告期内理财产品的投资策略说明</w:t>
      </w:r>
      <w:r>
        <w:rPr>
          <w:rStyle w:val="Hyperlink"/>
        </w:rPr>
        <w:tab/>
      </w:r>
      <w:r>
        <w:fldChar w:fldCharType="begin"/>
      </w:r>
      <w:r>
        <w:rPr>
          <w:rStyle w:val="Hyperlink"/>
        </w:rPr>
        <w:instrText xml:space="preserve"> PAGEREF _Toc256000008 \h </w:instrText>
      </w:r>
      <w:r>
        <w:fldChar w:fldCharType="separate"/>
      </w:r>
      <w:r>
        <w:rPr>
          <w:rStyle w:val="Hyperlink"/>
        </w:rPr>
        <w:t>5</w:t>
      </w:r>
      <w:r>
        <w:fldChar w:fldCharType="end"/>
      </w:r>
      <w:r>
        <w:fldChar w:fldCharType="end"/>
      </w:r>
    </w:p>
    <w:p>
      <w:pPr>
        <w:pStyle w:val="TOC2"/>
        <w:tabs>
          <w:tab w:val="right" w:leader="dot" w:pos="9060"/>
        </w:tabs>
        <w:rPr>
          <w:rFonts w:asciiTheme="minorHAnsi" w:hAnsiTheme="minorHAnsi"/>
          <w:noProof/>
          <w:sz w:val="22"/>
        </w:rPr>
      </w:pPr>
      <w:r>
        <w:fldChar w:fldCharType="begin"/>
      </w:r>
      <w:r>
        <w:rPr>
          <w:rStyle w:val="Hyperlink"/>
        </w:rPr>
        <w:instrText xml:space="preserve"> HYPERLINK \l "_Toc256000009" </w:instrText>
      </w:r>
      <w:r>
        <w:fldChar w:fldCharType="separate"/>
      </w:r>
      <w:r w:rsidRPr="0071237C">
        <w:rPr>
          <w:rStyle w:val="Hyperlink"/>
          <w:rFonts w:hint="eastAsia"/>
        </w:rPr>
        <w:t xml:space="preserve">4.2 </w:t>
      </w:r>
      <w:r w:rsidRPr="0071237C" w:rsidR="00364152">
        <w:rPr>
          <w:rStyle w:val="Hyperlink"/>
          <w:rFonts w:hint="eastAsia"/>
        </w:rPr>
        <w:t>理财产品报告期内关联</w:t>
      </w:r>
      <w:r w:rsidRPr="0071237C">
        <w:rPr>
          <w:rStyle w:val="Hyperlink"/>
          <w:rFonts w:hint="eastAsia"/>
        </w:rPr>
        <w:t>交易</w:t>
      </w:r>
      <w:r w:rsidRPr="0071237C" w:rsidR="005C0C96">
        <w:rPr>
          <w:rStyle w:val="Hyperlink"/>
          <w:rFonts w:hint="eastAsia"/>
        </w:rPr>
        <w:t>发生</w:t>
      </w:r>
      <w:r w:rsidRPr="0071237C">
        <w:rPr>
          <w:rStyle w:val="Hyperlink"/>
          <w:rFonts w:hint="eastAsia"/>
        </w:rPr>
        <w:t>情况</w:t>
      </w:r>
      <w:r>
        <w:rPr>
          <w:rStyle w:val="Hyperlink"/>
        </w:rPr>
        <w:tab/>
      </w:r>
      <w:r>
        <w:fldChar w:fldCharType="begin"/>
      </w:r>
      <w:r>
        <w:rPr>
          <w:rStyle w:val="Hyperlink"/>
        </w:rPr>
        <w:instrText xml:space="preserve"> PAGEREF _Toc256000009 \h </w:instrText>
      </w:r>
      <w:r>
        <w:fldChar w:fldCharType="separate"/>
      </w:r>
      <w:r>
        <w:rPr>
          <w:rStyle w:val="Hyperlink"/>
        </w:rPr>
        <w:t>6</w:t>
      </w:r>
      <w:r>
        <w:fldChar w:fldCharType="end"/>
      </w:r>
      <w:r>
        <w:fldChar w:fldCharType="end"/>
      </w:r>
    </w:p>
    <w:p>
      <w:pPr>
        <w:pStyle w:val="TOC1"/>
        <w:tabs>
          <w:tab w:val="right" w:leader="dot" w:pos="9060"/>
        </w:tabs>
        <w:rPr>
          <w:rFonts w:asciiTheme="minorHAnsi" w:hAnsiTheme="minorHAnsi"/>
          <w:noProof/>
          <w:sz w:val="22"/>
        </w:rPr>
      </w:pPr>
      <w:r>
        <w:fldChar w:fldCharType="begin"/>
      </w:r>
      <w:r>
        <w:rPr>
          <w:rStyle w:val="Hyperlink"/>
        </w:rPr>
        <w:instrText xml:space="preserve"> HYPERLINK \l "_Toc256000010" </w:instrText>
      </w:r>
      <w:r>
        <w:fldChar w:fldCharType="separate"/>
      </w:r>
      <w:r w:rsidRPr="0071237C">
        <w:rPr>
          <w:rStyle w:val="Hyperlink"/>
          <w:rFonts w:ascii="宋体" w:hAnsi="宋体" w:hint="eastAsia"/>
          <w:shd w:val="clear" w:color="auto" w:fill="FFFFFF"/>
        </w:rPr>
        <w:t>§</w:t>
      </w:r>
      <w:r w:rsidRPr="0071237C" w:rsidR="00B21928">
        <w:rPr>
          <w:rStyle w:val="Hyperlink"/>
          <w:rFonts w:ascii="宋体" w:hAnsi="宋体"/>
          <w:shd w:val="clear" w:color="auto" w:fill="FFFFFF"/>
        </w:rPr>
        <w:t>5</w:t>
      </w:r>
      <w:r w:rsidRPr="0071237C">
        <w:rPr>
          <w:rStyle w:val="Hyperlink"/>
          <w:rFonts w:ascii="宋体" w:hAnsi="宋体" w:hint="eastAsia"/>
          <w:shd w:val="clear" w:color="auto" w:fill="FFFFFF"/>
        </w:rPr>
        <w:t xml:space="preserve"> 投资组合报告</w:t>
      </w:r>
      <w:r>
        <w:rPr>
          <w:rStyle w:val="Hyperlink"/>
        </w:rPr>
        <w:tab/>
      </w:r>
      <w:r>
        <w:fldChar w:fldCharType="begin"/>
      </w:r>
      <w:r>
        <w:rPr>
          <w:rStyle w:val="Hyperlink"/>
        </w:rPr>
        <w:instrText xml:space="preserve"> PAGEREF _Toc256000010 \h </w:instrText>
      </w:r>
      <w:r>
        <w:fldChar w:fldCharType="separate"/>
      </w:r>
      <w:r>
        <w:rPr>
          <w:rStyle w:val="Hyperlink"/>
        </w:rPr>
        <w:t>6</w:t>
      </w:r>
      <w:r>
        <w:fldChar w:fldCharType="end"/>
      </w:r>
      <w:r>
        <w:fldChar w:fldCharType="end"/>
      </w:r>
    </w:p>
    <w:p>
      <w:pPr>
        <w:pStyle w:val="TOC2"/>
        <w:tabs>
          <w:tab w:val="right" w:leader="dot" w:pos="9060"/>
        </w:tabs>
        <w:rPr>
          <w:rFonts w:asciiTheme="minorHAnsi" w:hAnsiTheme="minorHAnsi"/>
          <w:noProof/>
          <w:sz w:val="22"/>
        </w:rPr>
      </w:pPr>
      <w:r>
        <w:fldChar w:fldCharType="begin"/>
      </w:r>
      <w:r>
        <w:rPr>
          <w:rStyle w:val="Hyperlink"/>
        </w:rPr>
        <w:instrText xml:space="preserve"> HYPERLINK \l "_Toc256000011" </w:instrText>
      </w:r>
      <w:r>
        <w:fldChar w:fldCharType="separate"/>
      </w:r>
      <w:r w:rsidRPr="0071237C">
        <w:rPr>
          <w:rStyle w:val="Hyperlink"/>
          <w:shd w:val="clear" w:color="auto" w:fill="FFFFFF"/>
        </w:rPr>
        <w:t>5</w:t>
      </w:r>
      <w:r w:rsidRPr="0071237C">
        <w:rPr>
          <w:rStyle w:val="Hyperlink"/>
          <w:rFonts w:hint="eastAsia"/>
          <w:shd w:val="clear" w:color="auto" w:fill="FFFFFF"/>
        </w:rPr>
        <w:t>.1 期末理财产品资产组合情况</w:t>
      </w:r>
      <w:r>
        <w:rPr>
          <w:rStyle w:val="Hyperlink"/>
        </w:rPr>
        <w:tab/>
      </w:r>
      <w:r>
        <w:fldChar w:fldCharType="begin"/>
      </w:r>
      <w:r>
        <w:rPr>
          <w:rStyle w:val="Hyperlink"/>
        </w:rPr>
        <w:instrText xml:space="preserve"> PAGEREF _Toc256000011 \h </w:instrText>
      </w:r>
      <w:r>
        <w:fldChar w:fldCharType="separate"/>
      </w:r>
      <w:r>
        <w:rPr>
          <w:rStyle w:val="Hyperlink"/>
        </w:rPr>
        <w:t>6</w:t>
      </w:r>
      <w:r>
        <w:fldChar w:fldCharType="end"/>
      </w:r>
      <w:r>
        <w:fldChar w:fldCharType="end"/>
      </w:r>
    </w:p>
    <w:p>
      <w:pPr>
        <w:pStyle w:val="TOC2"/>
        <w:tabs>
          <w:tab w:val="right" w:leader="dot" w:pos="9060"/>
        </w:tabs>
        <w:rPr>
          <w:rFonts w:asciiTheme="minorHAnsi" w:hAnsiTheme="minorHAnsi"/>
          <w:noProof/>
          <w:sz w:val="22"/>
        </w:rPr>
      </w:pPr>
      <w:r>
        <w:fldChar w:fldCharType="begin"/>
      </w:r>
      <w:r>
        <w:rPr>
          <w:rStyle w:val="Hyperlink"/>
        </w:rPr>
        <w:instrText xml:space="preserve"> HYPERLINK \l "_Toc256000012" </w:instrText>
      </w:r>
      <w:r>
        <w:fldChar w:fldCharType="separate"/>
      </w:r>
      <w:r>
        <w:rPr>
          <w:rStyle w:val="Hyperlink"/>
          <w:shd w:val="clear" w:color="auto" w:fill="FFFFFF"/>
        </w:rPr>
        <w:t>5.2 期末投资组合前十项资产</w:t>
      </w:r>
      <w:r>
        <w:rPr>
          <w:rStyle w:val="Hyperlink"/>
        </w:rPr>
        <w:tab/>
      </w:r>
      <w:r>
        <w:fldChar w:fldCharType="begin"/>
      </w:r>
      <w:r>
        <w:rPr>
          <w:rStyle w:val="Hyperlink"/>
        </w:rPr>
        <w:instrText xml:space="preserve"> PAGEREF _Toc256000012 \h </w:instrText>
      </w:r>
      <w:r>
        <w:fldChar w:fldCharType="separate"/>
      </w:r>
      <w:r>
        <w:rPr>
          <w:rStyle w:val="Hyperlink"/>
        </w:rPr>
        <w:t>7</w:t>
      </w:r>
      <w:r>
        <w:fldChar w:fldCharType="end"/>
      </w:r>
      <w:r>
        <w:fldChar w:fldCharType="end"/>
      </w:r>
    </w:p>
    <w:p>
      <w:pPr>
        <w:pStyle w:val="TOC2"/>
        <w:tabs>
          <w:tab w:val="right" w:leader="dot" w:pos="9060"/>
        </w:tabs>
        <w:rPr>
          <w:rFonts w:asciiTheme="minorHAnsi" w:hAnsiTheme="minorHAnsi"/>
          <w:noProof/>
          <w:sz w:val="22"/>
        </w:rPr>
      </w:pPr>
      <w:r>
        <w:fldChar w:fldCharType="begin"/>
      </w:r>
      <w:r>
        <w:rPr>
          <w:rStyle w:val="Hyperlink"/>
        </w:rPr>
        <w:instrText xml:space="preserve"> HYPERLINK \l "_Toc256000013" </w:instrText>
      </w:r>
      <w:r>
        <w:fldChar w:fldCharType="separate"/>
      </w:r>
      <w:r w:rsidRPr="0071237C">
        <w:rPr>
          <w:rStyle w:val="Hyperlink"/>
          <w:shd w:val="clear" w:color="auto" w:fill="FFFFFF"/>
        </w:rPr>
        <w:t>5</w:t>
      </w:r>
      <w:r w:rsidRPr="0071237C">
        <w:rPr>
          <w:rStyle w:val="Hyperlink"/>
          <w:rFonts w:hint="eastAsia"/>
          <w:shd w:val="clear" w:color="auto" w:fill="FFFFFF"/>
        </w:rPr>
        <w:t>.3 报告期末非标准化债权类资产信息</w:t>
      </w:r>
      <w:r>
        <w:rPr>
          <w:rStyle w:val="Hyperlink"/>
        </w:rPr>
        <w:tab/>
      </w:r>
      <w:r>
        <w:fldChar w:fldCharType="begin"/>
      </w:r>
      <w:r>
        <w:rPr>
          <w:rStyle w:val="Hyperlink"/>
        </w:rPr>
        <w:instrText xml:space="preserve"> PAGEREF _Toc256000013 \h </w:instrText>
      </w:r>
      <w:r>
        <w:fldChar w:fldCharType="separate"/>
      </w:r>
      <w:r>
        <w:rPr>
          <w:rStyle w:val="Hyperlink"/>
        </w:rPr>
        <w:t>8</w:t>
      </w:r>
      <w:r>
        <w:fldChar w:fldCharType="end"/>
      </w:r>
      <w:r>
        <w:fldChar w:fldCharType="end"/>
      </w:r>
    </w:p>
    <w:p>
      <w:pPr>
        <w:pStyle w:val="TOC2"/>
        <w:tabs>
          <w:tab w:val="right" w:leader="dot" w:pos="9060"/>
        </w:tabs>
        <w:rPr>
          <w:rFonts w:asciiTheme="minorHAnsi" w:hAnsiTheme="minorHAnsi"/>
          <w:noProof/>
          <w:sz w:val="22"/>
        </w:rPr>
      </w:pPr>
      <w:r>
        <w:fldChar w:fldCharType="begin"/>
      </w:r>
      <w:r>
        <w:rPr>
          <w:rStyle w:val="Hyperlink"/>
        </w:rPr>
        <w:instrText xml:space="preserve"> HYPERLINK \l "_Toc256000014" </w:instrText>
      </w:r>
      <w:r>
        <w:fldChar w:fldCharType="separate"/>
      </w:r>
      <w:r w:rsidRPr="0071237C">
        <w:rPr>
          <w:rStyle w:val="Hyperlink"/>
          <w:shd w:val="clear" w:color="auto" w:fill="FFFFFF"/>
        </w:rPr>
        <w:t>5</w:t>
      </w:r>
      <w:r w:rsidRPr="0071237C">
        <w:rPr>
          <w:rStyle w:val="Hyperlink"/>
          <w:rFonts w:hint="eastAsia"/>
          <w:shd w:val="clear" w:color="auto" w:fill="FFFFFF"/>
        </w:rPr>
        <w:t>.</w:t>
      </w:r>
      <w:r w:rsidRPr="0071237C">
        <w:rPr>
          <w:rStyle w:val="Hyperlink"/>
          <w:shd w:val="clear" w:color="auto" w:fill="FFFFFF"/>
        </w:rPr>
        <w:t>4</w:t>
      </w:r>
      <w:r w:rsidRPr="0071237C">
        <w:rPr>
          <w:rStyle w:val="Hyperlink"/>
          <w:rFonts w:hint="eastAsia"/>
          <w:shd w:val="clear" w:color="auto" w:fill="FFFFFF"/>
        </w:rPr>
        <w:t xml:space="preserve"> 报告期</w:t>
      </w:r>
      <w:r w:rsidRPr="0071237C">
        <w:rPr>
          <w:rStyle w:val="Hyperlink"/>
          <w:shd w:val="clear" w:color="auto" w:fill="FFFFFF"/>
        </w:rPr>
        <w:t>内</w:t>
      </w:r>
      <w:r w:rsidRPr="0071237C">
        <w:rPr>
          <w:rStyle w:val="Hyperlink"/>
          <w:rFonts w:hint="eastAsia"/>
          <w:shd w:val="clear" w:color="auto" w:fill="FFFFFF"/>
        </w:rPr>
        <w:t>到期</w:t>
      </w:r>
      <w:r w:rsidRPr="0071237C">
        <w:rPr>
          <w:rStyle w:val="Hyperlink"/>
          <w:shd w:val="clear" w:color="auto" w:fill="FFFFFF"/>
        </w:rPr>
        <w:t>的</w:t>
      </w:r>
      <w:r w:rsidRPr="0071237C">
        <w:rPr>
          <w:rStyle w:val="Hyperlink"/>
          <w:rFonts w:hint="eastAsia"/>
          <w:shd w:val="clear" w:color="auto" w:fill="FFFFFF"/>
        </w:rPr>
        <w:t>非标准化</w:t>
      </w:r>
      <w:r w:rsidRPr="0071237C">
        <w:rPr>
          <w:rStyle w:val="Hyperlink"/>
          <w:shd w:val="clear" w:color="auto" w:fill="FFFFFF"/>
        </w:rPr>
        <w:t>债权类资产及收益情况</w:t>
      </w:r>
      <w:r>
        <w:rPr>
          <w:rStyle w:val="Hyperlink"/>
        </w:rPr>
        <w:tab/>
      </w:r>
      <w:r>
        <w:fldChar w:fldCharType="begin"/>
      </w:r>
      <w:r>
        <w:rPr>
          <w:rStyle w:val="Hyperlink"/>
        </w:rPr>
        <w:instrText xml:space="preserve"> PAGEREF _Toc256000014 \h </w:instrText>
      </w:r>
      <w:r>
        <w:fldChar w:fldCharType="separate"/>
      </w:r>
      <w:r>
        <w:rPr>
          <w:rStyle w:val="Hyperlink"/>
        </w:rPr>
        <w:t>8</w:t>
      </w:r>
      <w:r>
        <w:fldChar w:fldCharType="end"/>
      </w:r>
      <w:r>
        <w:fldChar w:fldCharType="end"/>
      </w:r>
    </w:p>
    <w:p>
      <w:pPr>
        <w:pStyle w:val="TOC2"/>
        <w:tabs>
          <w:tab w:val="right" w:leader="dot" w:pos="9060"/>
        </w:tabs>
        <w:rPr>
          <w:rFonts w:asciiTheme="minorHAnsi" w:hAnsiTheme="minorHAnsi"/>
          <w:noProof/>
          <w:sz w:val="22"/>
        </w:rPr>
      </w:pPr>
      <w:r>
        <w:fldChar w:fldCharType="begin"/>
      </w:r>
      <w:r>
        <w:rPr>
          <w:rStyle w:val="Hyperlink"/>
        </w:rPr>
        <w:instrText xml:space="preserve"> HYPERLINK \l "_Toc256000015" </w:instrText>
      </w:r>
      <w:r>
        <w:fldChar w:fldCharType="separate"/>
      </w:r>
      <w:r w:rsidRPr="0071237C">
        <w:rPr>
          <w:rStyle w:val="Hyperlink"/>
          <w:shd w:val="clear" w:color="auto" w:fill="FFFFFF"/>
        </w:rPr>
        <w:t>5</w:t>
      </w:r>
      <w:r w:rsidRPr="0071237C">
        <w:rPr>
          <w:rStyle w:val="Hyperlink"/>
          <w:rFonts w:hint="eastAsia"/>
          <w:shd w:val="clear" w:color="auto" w:fill="FFFFFF"/>
        </w:rPr>
        <w:t>.</w:t>
      </w:r>
      <w:r w:rsidRPr="0071237C">
        <w:rPr>
          <w:rStyle w:val="Hyperlink"/>
          <w:shd w:val="clear" w:color="auto" w:fill="FFFFFF"/>
        </w:rPr>
        <w:t>5</w:t>
      </w:r>
      <w:r w:rsidRPr="0071237C">
        <w:rPr>
          <w:rStyle w:val="Hyperlink"/>
          <w:rFonts w:hint="eastAsia"/>
          <w:shd w:val="clear" w:color="auto" w:fill="FFFFFF"/>
        </w:rPr>
        <w:t xml:space="preserve"> 报告期末信贷资产收受益权资产信息</w:t>
      </w:r>
      <w:r>
        <w:rPr>
          <w:rStyle w:val="Hyperlink"/>
        </w:rPr>
        <w:tab/>
      </w:r>
      <w:r>
        <w:fldChar w:fldCharType="begin"/>
      </w:r>
      <w:r>
        <w:rPr>
          <w:rStyle w:val="Hyperlink"/>
        </w:rPr>
        <w:instrText xml:space="preserve"> PAGEREF _Toc256000015 \h </w:instrText>
      </w:r>
      <w:r>
        <w:fldChar w:fldCharType="separate"/>
      </w:r>
      <w:r>
        <w:rPr>
          <w:rStyle w:val="Hyperlink"/>
        </w:rPr>
        <w:t>8</w:t>
      </w:r>
      <w:r>
        <w:fldChar w:fldCharType="end"/>
      </w:r>
      <w:r>
        <w:fldChar w:fldCharType="end"/>
      </w:r>
    </w:p>
    <w:p>
      <w:pPr>
        <w:pStyle w:val="TOC2"/>
        <w:tabs>
          <w:tab w:val="right" w:leader="dot" w:pos="9060"/>
        </w:tabs>
        <w:rPr>
          <w:rFonts w:asciiTheme="minorHAnsi" w:hAnsiTheme="minorHAnsi"/>
          <w:noProof/>
          <w:sz w:val="22"/>
        </w:rPr>
      </w:pPr>
      <w:r>
        <w:fldChar w:fldCharType="begin"/>
      </w:r>
      <w:r>
        <w:rPr>
          <w:rStyle w:val="Hyperlink"/>
        </w:rPr>
        <w:instrText xml:space="preserve"> HYPERLINK \l "_Toc256000016" </w:instrText>
      </w:r>
      <w:r>
        <w:fldChar w:fldCharType="separate"/>
      </w:r>
      <w:r w:rsidRPr="00BB25DC">
        <w:rPr>
          <w:rStyle w:val="Hyperlink"/>
          <w:shd w:val="clear" w:color="auto" w:fill="FFFFFF"/>
        </w:rPr>
        <w:t>5</w:t>
      </w:r>
      <w:r w:rsidRPr="00BB25DC">
        <w:rPr>
          <w:rStyle w:val="Hyperlink"/>
          <w:rFonts w:hint="eastAsia"/>
          <w:shd w:val="clear" w:color="auto" w:fill="FFFFFF"/>
        </w:rPr>
        <w:t>.</w:t>
      </w:r>
      <w:r w:rsidRPr="00BB25DC">
        <w:rPr>
          <w:rStyle w:val="Hyperlink"/>
          <w:shd w:val="clear" w:color="auto" w:fill="FFFFFF"/>
        </w:rPr>
        <w:t>6</w:t>
      </w:r>
      <w:r w:rsidRPr="00BB25DC">
        <w:rPr>
          <w:rStyle w:val="Hyperlink"/>
          <w:rFonts w:hint="eastAsia"/>
          <w:shd w:val="clear" w:color="auto" w:fill="FFFFFF"/>
        </w:rPr>
        <w:t xml:space="preserve"> 报告</w:t>
      </w:r>
      <w:r w:rsidRPr="00BB25DC">
        <w:rPr>
          <w:rStyle w:val="Hyperlink"/>
          <w:shd w:val="clear" w:color="auto" w:fill="FFFFFF"/>
        </w:rPr>
        <w:t>期</w:t>
      </w:r>
      <w:r w:rsidRPr="00BB25DC">
        <w:rPr>
          <w:rStyle w:val="Hyperlink"/>
          <w:rFonts w:hint="eastAsia"/>
          <w:shd w:val="clear" w:color="auto" w:fill="FFFFFF"/>
        </w:rPr>
        <w:t>末商品及金融衍生</w:t>
      </w:r>
      <w:r w:rsidRPr="00BB25DC">
        <w:rPr>
          <w:rStyle w:val="Hyperlink"/>
          <w:rFonts w:hint="eastAsia"/>
          <w:shd w:val="clear" w:color="auto" w:fill="FFFFFF"/>
        </w:rPr>
        <w:t>品</w:t>
      </w:r>
      <w:r w:rsidRPr="00BB25DC">
        <w:rPr>
          <w:rStyle w:val="Hyperlink"/>
          <w:shd w:val="clear" w:color="auto" w:fill="FFFFFF"/>
        </w:rPr>
        <w:t>资产</w:t>
      </w:r>
      <w:r w:rsidRPr="00BB25DC">
        <w:rPr>
          <w:rStyle w:val="Hyperlink"/>
          <w:rFonts w:hint="eastAsia"/>
          <w:shd w:val="clear" w:color="auto" w:fill="FFFFFF"/>
        </w:rPr>
        <w:t>信息</w:t>
      </w:r>
      <w:r>
        <w:rPr>
          <w:rStyle w:val="Hyperlink"/>
        </w:rPr>
        <w:tab/>
      </w:r>
      <w:r>
        <w:fldChar w:fldCharType="begin"/>
      </w:r>
      <w:r>
        <w:rPr>
          <w:rStyle w:val="Hyperlink"/>
        </w:rPr>
        <w:instrText xml:space="preserve"> PAGEREF _Toc256000016 \h </w:instrText>
      </w:r>
      <w:r>
        <w:fldChar w:fldCharType="separate"/>
      </w:r>
      <w:r>
        <w:rPr>
          <w:rStyle w:val="Hyperlink"/>
        </w:rPr>
        <w:t>8</w:t>
      </w:r>
      <w:r>
        <w:fldChar w:fldCharType="end"/>
      </w:r>
      <w:r>
        <w:fldChar w:fldCharType="end"/>
      </w:r>
    </w:p>
    <w:p>
      <w:pPr>
        <w:pStyle w:val="TOC1"/>
        <w:tabs>
          <w:tab w:val="right" w:leader="dot" w:pos="9060"/>
        </w:tabs>
        <w:rPr>
          <w:rFonts w:asciiTheme="minorHAnsi" w:hAnsiTheme="minorHAnsi"/>
          <w:noProof/>
          <w:sz w:val="22"/>
        </w:rPr>
      </w:pPr>
      <w:r>
        <w:fldChar w:fldCharType="begin"/>
      </w:r>
      <w:r>
        <w:rPr>
          <w:rStyle w:val="Hyperlink"/>
        </w:rPr>
        <w:instrText xml:space="preserve"> HYPERLINK \l "_Toc256000017" </w:instrText>
      </w:r>
      <w:r>
        <w:fldChar w:fldCharType="separate"/>
      </w:r>
      <w:r w:rsidRPr="009A2C14">
        <w:rPr>
          <w:rStyle w:val="Hyperlink"/>
          <w:rFonts w:ascii="宋体" w:hAnsi="宋体" w:hint="eastAsia"/>
          <w:shd w:val="clear" w:color="auto" w:fill="FFFFFF"/>
        </w:rPr>
        <w:t>§</w:t>
      </w:r>
      <w:r w:rsidRPr="009A2C14">
        <w:rPr>
          <w:rStyle w:val="Hyperlink"/>
          <w:rFonts w:ascii="宋体" w:hAnsi="宋体"/>
          <w:shd w:val="clear" w:color="auto" w:fill="FFFFFF"/>
        </w:rPr>
        <w:t>6</w:t>
      </w:r>
      <w:r w:rsidRPr="009A2C14">
        <w:rPr>
          <w:rStyle w:val="Hyperlink"/>
          <w:rFonts w:ascii="宋体" w:hAnsi="宋体" w:hint="eastAsia"/>
          <w:shd w:val="clear" w:color="auto" w:fill="FFFFFF"/>
        </w:rPr>
        <w:t xml:space="preserve"> 托管人报告</w:t>
      </w:r>
      <w:r>
        <w:rPr>
          <w:rStyle w:val="Hyperlink"/>
        </w:rPr>
        <w:tab/>
      </w:r>
      <w:r>
        <w:fldChar w:fldCharType="begin"/>
      </w:r>
      <w:r>
        <w:rPr>
          <w:rStyle w:val="Hyperlink"/>
        </w:rPr>
        <w:instrText xml:space="preserve"> PAGEREF _Toc256000017 \h </w:instrText>
      </w:r>
      <w:r>
        <w:fldChar w:fldCharType="separate"/>
      </w:r>
      <w:r>
        <w:rPr>
          <w:rStyle w:val="Hyperlink"/>
        </w:rPr>
        <w:t>9</w:t>
      </w:r>
      <w:r>
        <w:fldChar w:fldCharType="end"/>
      </w:r>
      <w:r>
        <w:fldChar w:fldCharType="end"/>
      </w:r>
    </w:p>
    <w:p>
      <w:pPr>
        <w:pStyle w:val="TOC2"/>
        <w:tabs>
          <w:tab w:val="right" w:leader="dot" w:pos="9060"/>
        </w:tabs>
        <w:rPr>
          <w:rFonts w:asciiTheme="minorHAnsi" w:hAnsiTheme="minorHAnsi"/>
          <w:noProof/>
          <w:sz w:val="22"/>
        </w:rPr>
      </w:pPr>
      <w:r>
        <w:fldChar w:fldCharType="begin"/>
      </w:r>
      <w:r>
        <w:rPr>
          <w:rStyle w:val="Hyperlink"/>
        </w:rPr>
        <w:instrText xml:space="preserve"> HYPERLINK \l "_Toc256000018" </w:instrText>
      </w:r>
      <w:r>
        <w:fldChar w:fldCharType="separate"/>
      </w:r>
      <w:r w:rsidRPr="009A2C14">
        <w:rPr>
          <w:rStyle w:val="Hyperlink"/>
          <w:shd w:val="clear" w:color="auto" w:fill="FFFFFF"/>
        </w:rPr>
        <w:t>6</w:t>
      </w:r>
      <w:r w:rsidRPr="009A2C14">
        <w:rPr>
          <w:rStyle w:val="Hyperlink"/>
          <w:rFonts w:hint="eastAsia"/>
          <w:shd w:val="clear" w:color="auto" w:fill="FFFFFF"/>
        </w:rPr>
        <w:t>.1 托管人报告</w:t>
      </w:r>
      <w:r>
        <w:rPr>
          <w:rStyle w:val="Hyperlink"/>
        </w:rPr>
        <w:tab/>
      </w:r>
      <w:r>
        <w:fldChar w:fldCharType="begin"/>
      </w:r>
      <w:r>
        <w:rPr>
          <w:rStyle w:val="Hyperlink"/>
        </w:rPr>
        <w:instrText xml:space="preserve"> PAGEREF _Toc256000018 \h </w:instrText>
      </w:r>
      <w:r>
        <w:fldChar w:fldCharType="separate"/>
      </w:r>
      <w:r>
        <w:rPr>
          <w:rStyle w:val="Hyperlink"/>
        </w:rPr>
        <w:t>9</w:t>
      </w:r>
      <w:r>
        <w:fldChar w:fldCharType="end"/>
      </w:r>
      <w:r>
        <w:fldChar w:fldCharType="end"/>
      </w:r>
    </w:p>
    <w:p w:rsidP="00120F3B">
      <w:r>
        <w:fldChar w:fldCharType="end"/>
      </w:r>
    </w:p>
    <w:p w:rsidR="00120F3B" w:rsidP="00E50D4A">
      <w:pPr>
        <w:widowControl/>
        <w:jc w:val="left"/>
        <w:rPr>
          <w:shd w:val="clear" w:color="auto" w:fill="FFFFFF"/>
        </w:rPr>
      </w:pPr>
      <w:r>
        <w:rPr>
          <w:shd w:val="clear" w:color="auto" w:fill="FFFFFF"/>
        </w:rPr>
        <w:br w:type="page"/>
      </w:r>
    </w:p>
    <w:p w:rsidR="00380479" w:rsidRPr="00A642F9" w:rsidP="00F57231">
      <w:pPr>
        <w:pStyle w:val="Heading1"/>
        <w:spacing w:line="360" w:lineRule="auto"/>
        <w:jc w:val="center"/>
        <w:rPr>
          <w:rFonts w:ascii="宋体" w:hAnsi="宋体"/>
          <w:sz w:val="24"/>
          <w:szCs w:val="24"/>
          <w:shd w:val="clear" w:color="auto" w:fill="FFFFFF"/>
        </w:rPr>
      </w:pPr>
      <w:bookmarkStart w:id="0" w:name="_Toc256000000"/>
      <w:r w:rsidRPr="00A642F9">
        <w:rPr>
          <w:rFonts w:ascii="宋体" w:hAnsi="宋体" w:hint="eastAsia"/>
          <w:sz w:val="24"/>
          <w:szCs w:val="24"/>
          <w:shd w:val="clear" w:color="auto" w:fill="FFFFFF"/>
        </w:rPr>
        <w:t>§1 重要提示</w:t>
      </w:r>
      <w:bookmarkEnd w:id="0"/>
    </w:p>
    <w:p w:rsidR="00380479" w:rsidRPr="00A642F9" w:rsidP="00A642F9">
      <w:pPr>
        <w:pStyle w:val="Heading2"/>
        <w:rPr>
          <w:sz w:val="24"/>
          <w:szCs w:val="24"/>
          <w:shd w:val="clear" w:color="auto" w:fill="FFFFFF"/>
        </w:rPr>
      </w:pPr>
      <w:bookmarkStart w:id="1" w:name="_Toc256000001"/>
      <w:r w:rsidRPr="00A642F9">
        <w:rPr>
          <w:rFonts w:hint="eastAsia"/>
          <w:sz w:val="24"/>
          <w:szCs w:val="24"/>
          <w:shd w:val="clear" w:color="auto" w:fill="FFFFFF"/>
        </w:rPr>
        <w:t>1.1 重要提示</w:t>
      </w:r>
      <w:bookmarkEnd w:id="1"/>
    </w:p>
    <w:tbl>
      <w:tblPr>
        <w:tblW w:w="0" w:type="auto"/>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ayout w:type="fixed"/>
        <w:tblLook w:val="0000"/>
      </w:tblPr>
      <w:tblGrid>
        <w:gridCol w:w="8522"/>
      </w:tblGrid>
      <w:tr>
        <w:tblPrEx>
          <w:tblW w:w="0" w:type="auto"/>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ayout w:type="fixed"/>
          <w:tblLook w:val="0000"/>
        </w:tblPrEx>
        <w:trPr>
          <w:trHeight w:val="610"/>
        </w:trPr>
        <w:tc>
          <w:tcPr>
            <w:tcW w:w="8522" w:type="dxa"/>
          </w:tcPr>
          <w:p w:rsidR="00164716" w:rsidRPr="004C7F8B" w:rsidP="00164716">
            <w:pPr>
              <w:numPr>
                <w:ilvl w:val="0"/>
                <w:numId w:val="4"/>
              </w:numPr>
              <w:jc w:val="left"/>
              <w:rPr>
                <w:rFonts w:ascii="仿宋" w:eastAsia="仿宋" w:hAnsi="仿宋"/>
                <w:shd w:val="clear" w:color="auto" w:fill="FFFFFF"/>
              </w:rPr>
            </w:pPr>
            <w:r w:rsidRPr="004C7F8B">
              <w:rPr>
                <w:rFonts w:ascii="仿宋" w:eastAsia="仿宋" w:hAnsi="仿宋" w:hint="eastAsia"/>
                <w:shd w:val="clear" w:color="auto" w:fill="FFFFFF"/>
              </w:rPr>
              <w:t>本报告适用于</w:t>
            </w:r>
            <w:r>
              <w:rPr>
                <w:rFonts w:ascii="仿宋" w:eastAsia="仿宋" w:hAnsi="仿宋" w:cs="仿宋"/>
                <w:b w:val="0"/>
                <w:i w:val="0"/>
                <w:color w:val="000000"/>
                <w:position w:val="-1"/>
                <w:u w:val="none"/>
              </w:rPr>
              <w:t>招银理财招睿丰和（短债）14天持有期1号固定收益类理财计划</w:t>
            </w:r>
            <w:r w:rsidRPr="004C7F8B">
              <w:rPr>
                <w:rFonts w:ascii="仿宋" w:eastAsia="仿宋" w:hAnsi="仿宋" w:hint="eastAsia"/>
                <w:shd w:val="clear" w:color="auto" w:fill="FFFFFF"/>
              </w:rPr>
              <w:t>。</w:t>
            </w:r>
            <w:r w:rsidR="0038608E">
              <w:rPr>
                <w:rFonts w:ascii="仿宋" w:eastAsia="仿宋" w:hAnsi="仿宋" w:hint="eastAsia"/>
                <w:shd w:val="clear" w:color="auto" w:fill="FFFFFF"/>
              </w:rPr>
              <w:t>理财</w:t>
            </w:r>
            <w:r w:rsidRPr="004C7F8B">
              <w:rPr>
                <w:rFonts w:ascii="仿宋" w:eastAsia="仿宋" w:hAnsi="仿宋" w:hint="eastAsia"/>
                <w:shd w:val="clear" w:color="auto" w:fill="FFFFFF"/>
              </w:rPr>
              <w:t>产品</w:t>
            </w:r>
            <w:r w:rsidRPr="004C7F8B">
              <w:rPr>
                <w:rFonts w:ascii="仿宋" w:eastAsia="仿宋" w:hAnsi="仿宋"/>
                <w:shd w:val="clear" w:color="auto" w:fill="FFFFFF"/>
              </w:rPr>
              <w:t>管理人</w:t>
            </w:r>
            <w:r w:rsidRPr="004C7F8B">
              <w:rPr>
                <w:rFonts w:ascii="仿宋" w:eastAsia="仿宋" w:hAnsi="仿宋" w:hint="eastAsia"/>
                <w:shd w:val="clear" w:color="auto" w:fill="FFFFFF"/>
              </w:rPr>
              <w:t>保证</w:t>
            </w:r>
            <w:r w:rsidRPr="004C7F8B">
              <w:rPr>
                <w:rFonts w:ascii="仿宋" w:eastAsia="仿宋" w:hAnsi="仿宋"/>
                <w:shd w:val="clear" w:color="auto" w:fill="FFFFFF"/>
              </w:rPr>
              <w:t>本报告所载资料不存在虚假记载、误导性陈述或重大遗漏。</w:t>
            </w:r>
          </w:p>
          <w:p w:rsidR="007A593C" w:rsidP="00164716">
            <w:pPr>
              <w:numPr>
                <w:ilvl w:val="0"/>
                <w:numId w:val="4"/>
              </w:numPr>
              <w:jc w:val="left"/>
              <w:rPr>
                <w:rFonts w:ascii="仿宋" w:eastAsia="仿宋" w:hAnsi="仿宋"/>
                <w:shd w:val="clear" w:color="auto" w:fill="FFFFFF"/>
              </w:rPr>
            </w:pPr>
            <w:r w:rsidRPr="004C7F8B">
              <w:rPr>
                <w:rFonts w:ascii="仿宋" w:eastAsia="仿宋" w:hAnsi="仿宋"/>
                <w:shd w:val="clear" w:color="auto" w:fill="FFFFFF"/>
              </w:rPr>
              <w:t>理财产品管理人承诺以诚实信用、勤勉尽责的原则管理和运用理财产品资产，但不保证理财产品</w:t>
            </w:r>
            <w:r w:rsidR="00330673">
              <w:rPr>
                <w:rFonts w:ascii="仿宋" w:eastAsia="仿宋" w:hAnsi="仿宋" w:hint="eastAsia"/>
                <w:shd w:val="clear" w:color="auto" w:fill="FFFFFF"/>
              </w:rPr>
              <w:t>本金和收益</w:t>
            </w:r>
            <w:r w:rsidRPr="004C7F8B">
              <w:rPr>
                <w:rFonts w:ascii="仿宋" w:eastAsia="仿宋" w:hAnsi="仿宋"/>
                <w:shd w:val="clear" w:color="auto" w:fill="FFFFFF"/>
              </w:rPr>
              <w:t>。</w:t>
            </w:r>
          </w:p>
          <w:p w:rsidR="00491CFA" w:rsidRPr="00491CFA" w:rsidP="00491CFA">
            <w:pPr>
              <w:numPr>
                <w:ilvl w:val="0"/>
                <w:numId w:val="4"/>
              </w:numPr>
              <w:rPr>
                <w:rFonts w:ascii="仿宋" w:eastAsia="仿宋" w:hAnsi="仿宋"/>
                <w:shd w:val="clear" w:color="auto" w:fill="FFFFFF"/>
              </w:rPr>
            </w:pPr>
            <w:r w:rsidRPr="00491CFA">
              <w:rPr>
                <w:rFonts w:ascii="仿宋" w:eastAsia="仿宋" w:hAnsi="仿宋"/>
                <w:shd w:val="clear" w:color="auto" w:fill="FFFFFF"/>
              </w:rPr>
              <w:t>本产品为净值型产品，业绩表现将随市场波动，具有不确定性</w:t>
            </w:r>
            <w:r w:rsidRPr="00491CFA">
              <w:rPr>
                <w:rFonts w:ascii="仿宋" w:eastAsia="仿宋" w:hAnsi="仿宋" w:hint="eastAsia"/>
                <w:shd w:val="clear" w:color="auto" w:fill="FFFFFF"/>
              </w:rPr>
              <w:t>，</w:t>
            </w:r>
            <w:r w:rsidRPr="00EF0D0E">
              <w:rPr>
                <w:rFonts w:ascii="仿宋" w:eastAsia="仿宋" w:hAnsi="仿宋"/>
                <w:b/>
                <w:bCs/>
                <w:shd w:val="clear" w:color="auto" w:fill="FFFFFF"/>
              </w:rPr>
              <w:t>理财产品过往业绩并不代表其未来表现，不等于理财产品实际收益。</w:t>
            </w:r>
            <w:r w:rsidRPr="00491CFA">
              <w:rPr>
                <w:rFonts w:ascii="仿宋" w:eastAsia="仿宋" w:hAnsi="仿宋" w:hint="eastAsia"/>
                <w:b/>
                <w:shd w:val="clear" w:color="auto" w:fill="FFFFFF"/>
              </w:rPr>
              <w:t>理财非存款、产品有风险、投资须谨慎</w:t>
            </w:r>
            <w:r w:rsidRPr="00491CFA">
              <w:rPr>
                <w:rFonts w:ascii="仿宋" w:eastAsia="仿宋" w:hAnsi="仿宋"/>
                <w:shd w:val="clear" w:color="auto" w:fill="FFFFFF"/>
              </w:rPr>
              <w:t>，投资者在作出投资决策前应仔细阅读本理财产品的</w:t>
            </w:r>
            <w:r w:rsidRPr="00491CFA">
              <w:rPr>
                <w:rFonts w:ascii="仿宋" w:eastAsia="仿宋" w:hAnsi="仿宋" w:hint="eastAsia"/>
                <w:shd w:val="clear" w:color="auto" w:fill="FFFFFF"/>
              </w:rPr>
              <w:t>销售文件</w:t>
            </w:r>
            <w:r w:rsidRPr="00491CFA">
              <w:rPr>
                <w:rFonts w:ascii="仿宋" w:eastAsia="仿宋" w:hAnsi="仿宋"/>
                <w:shd w:val="clear" w:color="auto" w:fill="FFFFFF"/>
              </w:rPr>
              <w:t>。</w:t>
            </w:r>
          </w:p>
          <w:p w:rsidR="00491CFA" w:rsidRPr="00B6408A" w:rsidP="00B6408A">
            <w:pPr>
              <w:jc w:val="left"/>
              <w:rPr>
                <w:rFonts w:ascii="仿宋" w:eastAsia="仿宋" w:hAnsi="仿宋"/>
                <w:shd w:val="clear" w:color="auto" w:fill="FFFFFF"/>
              </w:rPr>
            </w:pPr>
            <w:r>
              <w:rPr>
                <w:rFonts w:ascii="仿宋" w:eastAsia="仿宋" w:hAnsi="仿宋" w:cs="仿宋"/>
                <w:b w:val="0"/>
                <w:i w:val="0"/>
                <w:color w:val="000000"/>
                <w:position w:val="-1"/>
                <w:u w:val="none"/>
              </w:rPr>
              <w:t>4、 本报告披露的资产净值及份额净值经过德勤华永会计师事务所(特殊普通合伙)审计确认。</w:t>
            </w:r>
            <w:r>
              <w:br/>
            </w:r>
            <w:r>
              <w:rPr>
                <w:rFonts w:ascii="仿宋" w:eastAsia="仿宋" w:hAnsi="仿宋" w:cs="仿宋"/>
                <w:b w:val="0"/>
                <w:i w:val="0"/>
                <w:color w:val="000000"/>
                <w:position w:val="-1"/>
                <w:u w:val="none"/>
              </w:rPr>
              <w:t>5、 本报告期自2024年01月01日起至2024年12月31日止。</w:t>
            </w:r>
          </w:p>
          <w:p w:rsidR="0033503F" w:rsidRPr="0033503F" w:rsidP="00AA0D69">
            <w:pPr>
              <w:jc w:val="left"/>
              <w:rPr>
                <w:rFonts w:ascii="仿宋" w:eastAsia="仿宋" w:hAnsi="仿宋"/>
                <w:shd w:val="clear" w:color="auto" w:fill="FFFFFF"/>
              </w:rPr>
            </w:pPr>
            <w:r>
              <w:rPr>
                <w:rFonts w:ascii="仿宋" w:eastAsia="仿宋" w:hAnsi="仿宋" w:cs="仿宋"/>
                <w:b w:val="0"/>
                <w:i w:val="0"/>
                <w:color w:val="000000"/>
                <w:position w:val="-1"/>
                <w:u w:val="none"/>
              </w:rPr>
              <w:t>注：除非本报告另有说明，本报告内的“元”均指“人民币元”。</w:t>
            </w:r>
          </w:p>
        </w:tc>
      </w:tr>
    </w:tbl>
    <w:p w:rsidR="00380479" w:rsidRPr="00A642F9" w:rsidP="00F57231">
      <w:pPr>
        <w:pStyle w:val="Heading1"/>
        <w:spacing w:line="360" w:lineRule="auto"/>
        <w:jc w:val="center"/>
        <w:rPr>
          <w:rFonts w:ascii="宋体" w:hAnsi="宋体"/>
          <w:sz w:val="24"/>
          <w:szCs w:val="24"/>
          <w:shd w:val="clear" w:color="auto" w:fill="FFFFFF"/>
        </w:rPr>
      </w:pPr>
      <w:bookmarkStart w:id="2" w:name="_Toc256000002"/>
      <w:r w:rsidRPr="00A642F9">
        <w:rPr>
          <w:rFonts w:ascii="宋体" w:hAnsi="宋体" w:hint="eastAsia"/>
          <w:sz w:val="24"/>
          <w:szCs w:val="24"/>
          <w:shd w:val="clear" w:color="auto" w:fill="FFFFFF"/>
        </w:rPr>
        <w:t>§2 理财产品简介</w:t>
      </w:r>
      <w:bookmarkEnd w:id="2"/>
    </w:p>
    <w:p w:rsidR="00380479" w:rsidRPr="00A642F9" w:rsidP="00A642F9">
      <w:pPr>
        <w:pStyle w:val="Heading2"/>
        <w:rPr>
          <w:sz w:val="24"/>
          <w:szCs w:val="24"/>
          <w:shd w:val="clear" w:color="auto" w:fill="FFFFFF"/>
        </w:rPr>
      </w:pPr>
      <w:bookmarkStart w:id="3" w:name="_Toc256000003"/>
      <w:r w:rsidRPr="00A642F9">
        <w:rPr>
          <w:rFonts w:hint="eastAsia"/>
          <w:sz w:val="24"/>
          <w:szCs w:val="24"/>
          <w:shd w:val="clear" w:color="auto" w:fill="FFFFFF"/>
        </w:rPr>
        <w:t>2.1 理财产品基本情况</w:t>
      </w:r>
      <w:bookmarkEnd w:id="3"/>
    </w:p>
    <w:tbl>
      <w:tblPr>
        <w:tblpPr w:leftFromText="180" w:rightFromText="180" w:vertAnchor="text" w:horzAnchor="margin" w:tblpY="8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968"/>
        <w:gridCol w:w="6092"/>
      </w:tblGrid>
      <w:tr w:rsidTr="00905872">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c>
          <w:tcPr>
            <w:tcW w:w="1638" w:type="pct"/>
            <w:shd w:val="clear" w:color="auto" w:fill="auto"/>
          </w:tcPr>
          <w:p w:rsidR="008D77ED" w:rsidRPr="004C7F8B" w:rsidP="00090C9E">
            <w:pPr>
              <w:rPr>
                <w:rFonts w:ascii="宋体" w:hAnsi="宋体"/>
                <w:szCs w:val="21"/>
                <w:shd w:val="clear" w:color="auto" w:fill="FFFFFF"/>
              </w:rPr>
            </w:pPr>
            <w:r w:rsidRPr="004C7F8B">
              <w:rPr>
                <w:rFonts w:ascii="宋体" w:hAnsi="宋体" w:hint="eastAsia"/>
                <w:szCs w:val="21"/>
                <w:shd w:val="clear" w:color="auto" w:fill="FFFFFF"/>
              </w:rPr>
              <w:t>理财产品</w:t>
            </w:r>
            <w:r w:rsidR="00536C4E">
              <w:rPr>
                <w:rFonts w:ascii="宋体" w:hAnsi="宋体" w:hint="eastAsia"/>
                <w:szCs w:val="21"/>
                <w:shd w:val="clear" w:color="auto" w:fill="FFFFFF"/>
              </w:rPr>
              <w:t>产品</w:t>
            </w:r>
            <w:r>
              <w:rPr>
                <w:rFonts w:ascii="宋体" w:hAnsi="宋体" w:hint="eastAsia"/>
                <w:szCs w:val="21"/>
                <w:shd w:val="clear" w:color="auto" w:fill="FFFFFF"/>
              </w:rPr>
              <w:t>代码</w:t>
            </w:r>
          </w:p>
        </w:tc>
        <w:tc>
          <w:tcPr>
            <w:tcW w:w="3362" w:type="pct"/>
            <w:shd w:val="clear" w:color="auto" w:fill="auto"/>
          </w:tcPr>
          <w:p w:rsidR="008D77ED" w:rsidRPr="004C7F8B" w:rsidP="00090C9E">
            <w:pPr>
              <w:rPr>
                <w:rFonts w:ascii="宋体" w:hAnsi="宋体"/>
                <w:kern w:val="0"/>
                <w:szCs w:val="21"/>
                <w:shd w:val="clear" w:color="auto" w:fill="FFFFFF"/>
              </w:rPr>
            </w:pPr>
            <w:r>
              <w:rPr>
                <w:rFonts w:ascii="宋体" w:eastAsia="宋体" w:hAnsi="宋体" w:cs="宋体"/>
                <w:b w:val="0"/>
                <w:i w:val="0"/>
                <w:color w:val="000000"/>
                <w:position w:val="-1"/>
                <w:u w:val="none"/>
              </w:rPr>
              <w:t>107514</w:t>
            </w:r>
          </w:p>
        </w:tc>
      </w:tr>
      <w:tr w:rsidTr="00905872">
        <w:tblPrEx>
          <w:tblW w:w="5000" w:type="pct"/>
          <w:tblLook w:val="0000"/>
        </w:tblPrEx>
        <w:tc>
          <w:tcPr>
            <w:tcW w:w="1638" w:type="pct"/>
            <w:shd w:val="clear" w:color="auto" w:fill="auto"/>
          </w:tcPr>
          <w:p w:rsidR="008D77ED" w:rsidRPr="004C7F8B" w:rsidP="00090C9E">
            <w:pPr>
              <w:rPr>
                <w:rFonts w:ascii="宋体" w:hAnsi="宋体"/>
                <w:szCs w:val="21"/>
                <w:shd w:val="clear" w:color="auto" w:fill="FFFFFF"/>
              </w:rPr>
            </w:pPr>
            <w:r w:rsidRPr="004C7F8B">
              <w:rPr>
                <w:rFonts w:ascii="宋体" w:hAnsi="宋体" w:hint="eastAsia"/>
                <w:szCs w:val="21"/>
                <w:shd w:val="clear" w:color="auto" w:fill="FFFFFF"/>
              </w:rPr>
              <w:t>理财产品</w:t>
            </w:r>
            <w:r>
              <w:rPr>
                <w:rFonts w:ascii="宋体" w:hAnsi="宋体" w:hint="eastAsia"/>
                <w:szCs w:val="21"/>
                <w:shd w:val="clear" w:color="auto" w:fill="FFFFFF"/>
              </w:rPr>
              <w:t>名</w:t>
            </w:r>
            <w:r w:rsidRPr="004C7F8B">
              <w:rPr>
                <w:rFonts w:ascii="宋体" w:hAnsi="宋体" w:hint="eastAsia"/>
                <w:szCs w:val="21"/>
                <w:shd w:val="clear" w:color="auto" w:fill="FFFFFF"/>
              </w:rPr>
              <w:t>称</w:t>
            </w:r>
          </w:p>
        </w:tc>
        <w:tc>
          <w:tcPr>
            <w:tcW w:w="3362" w:type="pct"/>
            <w:shd w:val="clear" w:color="auto" w:fill="auto"/>
          </w:tcPr>
          <w:p w:rsidR="008D77ED" w:rsidRPr="004C7F8B" w:rsidP="00090C9E">
            <w:pPr>
              <w:rPr>
                <w:rFonts w:ascii="宋体" w:hAnsi="宋体"/>
                <w:color w:val="FF0000"/>
                <w:kern w:val="0"/>
                <w:szCs w:val="21"/>
                <w:shd w:val="clear" w:color="auto" w:fill="FFFFFF"/>
              </w:rPr>
            </w:pPr>
            <w:r>
              <w:rPr>
                <w:rFonts w:ascii="宋体" w:eastAsia="宋体" w:hAnsi="宋体" w:cs="宋体"/>
                <w:b w:val="0"/>
                <w:i w:val="0"/>
                <w:color w:val="000000"/>
                <w:position w:val="-1"/>
                <w:u w:val="none"/>
              </w:rPr>
              <w:t>招银理财招睿丰和（短债）14天持有期1号固定收益类理财计划</w:t>
            </w:r>
          </w:p>
        </w:tc>
      </w:tr>
      <w:tr w:rsidTr="00905872">
        <w:tblPrEx>
          <w:tblW w:w="5000" w:type="pct"/>
          <w:tblLook w:val="0000"/>
        </w:tblPrEx>
        <w:trPr>
          <w:trHeight w:val="259"/>
        </w:trPr>
        <w:tc>
          <w:tcPr>
            <w:tcW w:w="1638" w:type="pct"/>
            <w:shd w:val="clear" w:color="auto" w:fill="auto"/>
            <w:vAlign w:val="center"/>
          </w:tcPr>
          <w:p w:rsidR="008D77ED" w:rsidRPr="004C7F8B" w:rsidP="00090C9E">
            <w:pPr>
              <w:rPr>
                <w:rFonts w:ascii="宋体" w:hAnsi="宋体"/>
                <w:szCs w:val="21"/>
                <w:shd w:val="clear" w:color="auto" w:fill="FFFFFF"/>
              </w:rPr>
            </w:pPr>
            <w:r w:rsidRPr="004C7F8B">
              <w:rPr>
                <w:rFonts w:ascii="宋体" w:hAnsi="宋体" w:hint="eastAsia"/>
                <w:szCs w:val="21"/>
                <w:shd w:val="clear" w:color="auto" w:fill="FFFFFF"/>
              </w:rPr>
              <w:t>理财产品</w:t>
            </w:r>
            <w:r>
              <w:rPr>
                <w:rFonts w:ascii="宋体" w:hAnsi="宋体" w:hint="eastAsia"/>
                <w:szCs w:val="21"/>
                <w:shd w:val="clear" w:color="auto" w:fill="FFFFFF"/>
              </w:rPr>
              <w:t>登记编码</w:t>
            </w:r>
          </w:p>
        </w:tc>
        <w:tc>
          <w:tcPr>
            <w:tcW w:w="3362" w:type="pct"/>
            <w:shd w:val="clear" w:color="auto" w:fill="auto"/>
          </w:tcPr>
          <w:p w:rsidR="008D77ED" w:rsidRPr="004C7F8B" w:rsidP="00090C9E">
            <w:pPr>
              <w:rPr>
                <w:rFonts w:ascii="宋体" w:hAnsi="宋体"/>
                <w:kern w:val="0"/>
                <w:szCs w:val="21"/>
                <w:shd w:val="clear" w:color="auto" w:fill="FFFFFF"/>
              </w:rPr>
            </w:pPr>
            <w:r>
              <w:rPr>
                <w:rFonts w:ascii="宋体" w:eastAsia="宋体" w:hAnsi="宋体" w:cs="宋体"/>
                <w:b w:val="0"/>
                <w:i w:val="0"/>
                <w:color w:val="000000"/>
                <w:position w:val="-1"/>
                <w:u w:val="none"/>
              </w:rPr>
              <w:t>Z7001621000276</w:t>
            </w:r>
          </w:p>
        </w:tc>
      </w:tr>
      <w:tr w:rsidTr="00905872">
        <w:tblPrEx>
          <w:tblW w:w="5000" w:type="pct"/>
          <w:tblLook w:val="0000"/>
        </w:tblPrEx>
        <w:tc>
          <w:tcPr>
            <w:tcW w:w="1638" w:type="pct"/>
            <w:shd w:val="clear" w:color="auto" w:fill="auto"/>
          </w:tcPr>
          <w:p w:rsidR="008D77ED" w:rsidRPr="004C7F8B" w:rsidP="00090C9E">
            <w:pPr>
              <w:rPr>
                <w:rFonts w:ascii="宋体" w:hAnsi="宋体"/>
                <w:szCs w:val="21"/>
                <w:shd w:val="clear" w:color="auto" w:fill="FFFFFF"/>
              </w:rPr>
            </w:pPr>
            <w:r w:rsidRPr="004C7F8B">
              <w:rPr>
                <w:rFonts w:ascii="宋体" w:hAnsi="宋体" w:hint="eastAsia"/>
                <w:szCs w:val="21"/>
                <w:shd w:val="clear" w:color="auto" w:fill="FFFFFF"/>
              </w:rPr>
              <w:t>产品</w:t>
            </w:r>
            <w:r w:rsidRPr="004C7F8B">
              <w:rPr>
                <w:rFonts w:ascii="宋体" w:hAnsi="宋体"/>
                <w:szCs w:val="21"/>
                <w:shd w:val="clear" w:color="auto" w:fill="FFFFFF"/>
              </w:rPr>
              <w:t>投资</w:t>
            </w:r>
            <w:r w:rsidRPr="004C7F8B">
              <w:rPr>
                <w:rFonts w:ascii="宋体" w:hAnsi="宋体" w:hint="eastAsia"/>
                <w:szCs w:val="21"/>
                <w:shd w:val="clear" w:color="auto" w:fill="FFFFFF"/>
              </w:rPr>
              <w:t>类型</w:t>
            </w:r>
          </w:p>
        </w:tc>
        <w:tc>
          <w:tcPr>
            <w:tcW w:w="3362" w:type="pct"/>
            <w:shd w:val="clear" w:color="auto" w:fill="auto"/>
          </w:tcPr>
          <w:p w:rsidR="008D77ED" w:rsidRPr="004C7F8B" w:rsidP="00090C9E">
            <w:pPr>
              <w:rPr>
                <w:rFonts w:ascii="宋体" w:hAnsi="宋体"/>
                <w:kern w:val="0"/>
                <w:szCs w:val="21"/>
                <w:shd w:val="clear" w:color="auto" w:fill="FFFFFF"/>
              </w:rPr>
            </w:pPr>
            <w:r>
              <w:rPr>
                <w:rFonts w:ascii="宋体" w:eastAsia="宋体" w:hAnsi="宋体" w:cs="宋体"/>
                <w:b w:val="0"/>
                <w:i w:val="0"/>
                <w:color w:val="000000"/>
                <w:position w:val="-1"/>
                <w:u w:val="none"/>
              </w:rPr>
              <w:t>固定收益类产品</w:t>
            </w:r>
          </w:p>
        </w:tc>
      </w:tr>
      <w:tr w:rsidTr="00905872">
        <w:tblPrEx>
          <w:tblW w:w="5000" w:type="pct"/>
          <w:tblLook w:val="0000"/>
        </w:tblPrEx>
        <w:tc>
          <w:tcPr>
            <w:tcW w:w="1638" w:type="pct"/>
            <w:shd w:val="clear" w:color="auto" w:fill="auto"/>
          </w:tcPr>
          <w:p w:rsidR="008D77ED" w:rsidRPr="004C7F8B" w:rsidP="00090C9E">
            <w:pPr>
              <w:rPr>
                <w:rFonts w:ascii="宋体" w:hAnsi="宋体"/>
                <w:szCs w:val="21"/>
                <w:shd w:val="clear" w:color="auto" w:fill="FFFFFF"/>
              </w:rPr>
            </w:pPr>
            <w:r w:rsidRPr="004C7F8B">
              <w:rPr>
                <w:rFonts w:ascii="宋体" w:hAnsi="宋体" w:hint="eastAsia"/>
                <w:szCs w:val="21"/>
                <w:shd w:val="clear" w:color="auto" w:fill="FFFFFF"/>
              </w:rPr>
              <w:t>产品募集</w:t>
            </w:r>
            <w:r w:rsidRPr="004C7F8B">
              <w:rPr>
                <w:rFonts w:ascii="宋体" w:hAnsi="宋体"/>
                <w:szCs w:val="21"/>
                <w:shd w:val="clear" w:color="auto" w:fill="FFFFFF"/>
              </w:rPr>
              <w:t>方式</w:t>
            </w:r>
          </w:p>
        </w:tc>
        <w:tc>
          <w:tcPr>
            <w:tcW w:w="3362" w:type="pct"/>
            <w:shd w:val="clear" w:color="auto" w:fill="auto"/>
          </w:tcPr>
          <w:p w:rsidR="008D77ED" w:rsidRPr="004C7F8B" w:rsidP="00090C9E">
            <w:pPr>
              <w:rPr>
                <w:rFonts w:ascii="宋体" w:hAnsi="宋体"/>
                <w:kern w:val="0"/>
                <w:szCs w:val="21"/>
                <w:shd w:val="clear" w:color="auto" w:fill="FFFFFF"/>
              </w:rPr>
            </w:pPr>
            <w:r>
              <w:rPr>
                <w:rFonts w:ascii="宋体" w:eastAsia="宋体" w:hAnsi="宋体" w:cs="宋体"/>
                <w:b w:val="0"/>
                <w:i w:val="0"/>
                <w:color w:val="000000"/>
                <w:position w:val="-1"/>
                <w:u w:val="none"/>
              </w:rPr>
              <w:t>公募</w:t>
            </w:r>
          </w:p>
        </w:tc>
      </w:tr>
      <w:tr w:rsidTr="00905872">
        <w:tblPrEx>
          <w:tblW w:w="5000" w:type="pct"/>
          <w:tblLook w:val="0000"/>
        </w:tblPrEx>
        <w:tc>
          <w:tcPr>
            <w:tcW w:w="1638" w:type="pct"/>
            <w:shd w:val="clear" w:color="auto" w:fill="auto"/>
          </w:tcPr>
          <w:p w:rsidR="008D77ED" w:rsidRPr="004C7F8B" w:rsidP="00090C9E">
            <w:pPr>
              <w:rPr>
                <w:rFonts w:ascii="宋体" w:hAnsi="宋体"/>
                <w:szCs w:val="21"/>
                <w:shd w:val="clear" w:color="auto" w:fill="FFFFFF"/>
              </w:rPr>
            </w:pPr>
            <w:r w:rsidRPr="004C7F8B">
              <w:rPr>
                <w:rFonts w:ascii="宋体" w:hAnsi="宋体" w:hint="eastAsia"/>
                <w:szCs w:val="21"/>
                <w:shd w:val="clear" w:color="auto" w:fill="FFFFFF"/>
              </w:rPr>
              <w:t>理财产品运作方式</w:t>
            </w:r>
          </w:p>
        </w:tc>
        <w:tc>
          <w:tcPr>
            <w:tcW w:w="3362" w:type="pct"/>
            <w:shd w:val="clear" w:color="auto" w:fill="auto"/>
          </w:tcPr>
          <w:p w:rsidR="008D77ED" w:rsidRPr="004C7F8B" w:rsidP="00090C9E">
            <w:pPr>
              <w:rPr>
                <w:rFonts w:ascii="宋体" w:hAnsi="宋体"/>
                <w:kern w:val="0"/>
                <w:szCs w:val="21"/>
                <w:shd w:val="clear" w:color="auto" w:fill="FFFFFF"/>
              </w:rPr>
            </w:pPr>
            <w:r>
              <w:rPr>
                <w:rFonts w:ascii="宋体" w:eastAsia="宋体" w:hAnsi="宋体" w:cs="宋体"/>
                <w:b w:val="0"/>
                <w:i w:val="0"/>
                <w:color w:val="000000"/>
                <w:position w:val="-1"/>
                <w:u w:val="none"/>
              </w:rPr>
              <w:t>开放式</w:t>
            </w:r>
          </w:p>
        </w:tc>
      </w:tr>
      <w:tr w:rsidTr="00905872">
        <w:tblPrEx>
          <w:tblW w:w="5000" w:type="pct"/>
          <w:tblLook w:val="0000"/>
        </w:tblPrEx>
        <w:tc>
          <w:tcPr>
            <w:tcW w:w="1638" w:type="pct"/>
            <w:shd w:val="clear" w:color="auto" w:fill="auto"/>
          </w:tcPr>
          <w:p w:rsidR="008D77ED" w:rsidRPr="004C7F8B" w:rsidP="008A10D2">
            <w:pPr>
              <w:rPr>
                <w:rFonts w:ascii="宋体" w:hAnsi="宋体"/>
                <w:szCs w:val="21"/>
                <w:shd w:val="clear" w:color="auto" w:fill="FFFFFF"/>
              </w:rPr>
            </w:pPr>
            <w:r w:rsidRPr="004C7F8B">
              <w:rPr>
                <w:rFonts w:ascii="宋体" w:hAnsi="宋体" w:hint="eastAsia"/>
                <w:szCs w:val="21"/>
                <w:shd w:val="clear" w:color="auto" w:fill="FFFFFF"/>
              </w:rPr>
              <w:t>业绩</w:t>
            </w:r>
            <w:r w:rsidRPr="004C7F8B">
              <w:rPr>
                <w:rFonts w:ascii="宋体" w:hAnsi="宋体"/>
                <w:szCs w:val="21"/>
                <w:shd w:val="clear" w:color="auto" w:fill="FFFFFF"/>
              </w:rPr>
              <w:t>比较基准</w:t>
            </w:r>
            <w:r>
              <w:rPr>
                <w:rFonts w:ascii="宋体" w:hAnsi="宋体" w:hint="eastAsia"/>
                <w:szCs w:val="21"/>
                <w:shd w:val="clear" w:color="auto" w:fill="FFFFFF"/>
              </w:rPr>
              <w:t>（如有）</w:t>
            </w:r>
          </w:p>
        </w:tc>
        <w:tc>
          <w:tcPr>
            <w:tcW w:w="3362" w:type="pct"/>
            <w:shd w:val="clear" w:color="auto" w:fill="auto"/>
          </w:tcPr>
          <w:p w:rsidR="008D77ED" w:rsidRPr="004C7F8B" w:rsidP="00090C9E">
            <w:pPr>
              <w:rPr>
                <w:rFonts w:ascii="宋体" w:hAnsi="宋体"/>
                <w:kern w:val="0"/>
                <w:szCs w:val="21"/>
                <w:shd w:val="clear" w:color="auto" w:fill="FFFFFF"/>
              </w:rPr>
            </w:pPr>
            <w:r>
              <w:rPr>
                <w:rFonts w:ascii="宋体" w:eastAsia="宋体" w:hAnsi="宋体" w:cs="宋体"/>
                <w:b w:val="0"/>
                <w:i w:val="0"/>
                <w:color w:val="000000"/>
                <w:position w:val="-1"/>
                <w:u w:val="none"/>
              </w:rPr>
              <w:t>107514：业绩比较基准上限为3.85%，下限为2.20%;17514MS：业绩比较基准上限为3.85%，下限为2.20%;17514TL：业绩比较基准上限为3.85%，下限为2.20%;（本产品为净值型产品，业绩表现将随市场波动，具有不确定性。）</w:t>
            </w:r>
          </w:p>
        </w:tc>
      </w:tr>
      <w:tr w:rsidTr="00905872">
        <w:tblPrEx>
          <w:tblW w:w="5000" w:type="pct"/>
          <w:tblLook w:val="0000"/>
        </w:tblPrEx>
        <w:tc>
          <w:tcPr>
            <w:tcW w:w="1638" w:type="pct"/>
            <w:shd w:val="clear" w:color="auto" w:fill="auto"/>
          </w:tcPr>
          <w:p w:rsidR="008D77ED" w:rsidRPr="004C7F8B" w:rsidP="008A10D2">
            <w:pPr>
              <w:rPr>
                <w:rFonts w:ascii="宋体" w:hAnsi="宋体"/>
                <w:szCs w:val="21"/>
                <w:shd w:val="clear" w:color="auto" w:fill="FFFFFF"/>
              </w:rPr>
            </w:pPr>
            <w:r w:rsidRPr="004C7F8B">
              <w:rPr>
                <w:rFonts w:ascii="宋体" w:hAnsi="宋体" w:hint="eastAsia"/>
                <w:szCs w:val="21"/>
                <w:shd w:val="clear" w:color="auto" w:fill="FFFFFF"/>
              </w:rPr>
              <w:t>业绩</w:t>
            </w:r>
            <w:r w:rsidRPr="004C7F8B">
              <w:rPr>
                <w:rFonts w:ascii="宋体" w:hAnsi="宋体"/>
                <w:szCs w:val="21"/>
                <w:shd w:val="clear" w:color="auto" w:fill="FFFFFF"/>
              </w:rPr>
              <w:t>比较基准测算说明</w:t>
            </w:r>
            <w:r>
              <w:rPr>
                <w:rFonts w:ascii="宋体" w:hAnsi="宋体" w:hint="eastAsia"/>
                <w:szCs w:val="21"/>
                <w:shd w:val="clear" w:color="auto" w:fill="FFFFFF"/>
              </w:rPr>
              <w:t>（如有）</w:t>
            </w:r>
          </w:p>
        </w:tc>
        <w:tc>
          <w:tcPr>
            <w:tcW w:w="3362" w:type="pct"/>
            <w:shd w:val="clear" w:color="auto" w:fill="auto"/>
          </w:tcPr>
          <w:p w:rsidR="008D77ED" w:rsidRPr="004C7F8B" w:rsidP="00090C9E">
            <w:pPr>
              <w:rPr>
                <w:rFonts w:ascii="宋体" w:hAnsi="宋体"/>
                <w:kern w:val="0"/>
                <w:szCs w:val="21"/>
                <w:shd w:val="clear" w:color="auto" w:fill="FFFFFF"/>
              </w:rPr>
            </w:pPr>
            <w:r>
              <w:rPr>
                <w:rFonts w:ascii="宋体" w:eastAsia="宋体" w:hAnsi="宋体" w:cs="宋体"/>
                <w:b w:val="0"/>
                <w:i w:val="0"/>
                <w:color w:val="000000"/>
                <w:position w:val="-1"/>
                <w:u w:val="none"/>
              </w:rPr>
              <w:t>根据产品说明书约定投资范围内各类资产的收益率水平、投资比例、市场情况进行静态测算和情景分析，确定本理财产品业绩比较基准</w:t>
            </w:r>
          </w:p>
        </w:tc>
      </w:tr>
      <w:tr w:rsidTr="00905872">
        <w:tblPrEx>
          <w:tblW w:w="5000" w:type="pct"/>
          <w:tblLook w:val="0000"/>
        </w:tblPrEx>
        <w:tc>
          <w:tcPr>
            <w:tcW w:w="1638" w:type="pct"/>
            <w:shd w:val="clear" w:color="auto" w:fill="auto"/>
          </w:tcPr>
          <w:p w:rsidR="008D77ED" w:rsidRPr="004C7F8B" w:rsidP="00090C9E">
            <w:pPr>
              <w:rPr>
                <w:rFonts w:ascii="宋体" w:hAnsi="宋体"/>
                <w:szCs w:val="21"/>
                <w:shd w:val="clear" w:color="auto" w:fill="FFFFFF"/>
              </w:rPr>
            </w:pPr>
            <w:r w:rsidRPr="004C7F8B">
              <w:rPr>
                <w:rFonts w:ascii="宋体" w:hAnsi="宋体" w:hint="eastAsia"/>
                <w:color w:val="000000"/>
                <w:szCs w:val="21"/>
                <w:shd w:val="clear" w:color="auto" w:fill="FFFFFF"/>
              </w:rPr>
              <w:t>产品风险</w:t>
            </w:r>
            <w:r w:rsidRPr="004C7F8B">
              <w:rPr>
                <w:rFonts w:ascii="宋体" w:hAnsi="宋体"/>
                <w:color w:val="000000"/>
                <w:szCs w:val="21"/>
                <w:shd w:val="clear" w:color="auto" w:fill="FFFFFF"/>
              </w:rPr>
              <w:t>评级</w:t>
            </w:r>
          </w:p>
        </w:tc>
        <w:tc>
          <w:tcPr>
            <w:tcW w:w="3362" w:type="pct"/>
            <w:shd w:val="clear" w:color="auto" w:fill="auto"/>
          </w:tcPr>
          <w:p w:rsidR="008D77ED" w:rsidRPr="004C7F8B" w:rsidP="00090C9E">
            <w:pPr>
              <w:rPr>
                <w:rFonts w:ascii="宋体" w:hAnsi="宋体"/>
                <w:kern w:val="0"/>
                <w:szCs w:val="21"/>
                <w:shd w:val="clear" w:color="auto" w:fill="FFFFFF"/>
              </w:rPr>
            </w:pPr>
            <w:r>
              <w:rPr>
                <w:rFonts w:ascii="宋体" w:eastAsia="宋体" w:hAnsi="宋体" w:cs="宋体"/>
                <w:b w:val="0"/>
                <w:i w:val="0"/>
                <w:color w:val="000000"/>
                <w:position w:val="-1"/>
                <w:u w:val="none"/>
              </w:rPr>
              <w:t>PR2</w:t>
            </w:r>
          </w:p>
        </w:tc>
      </w:tr>
      <w:tr w:rsidTr="00905872">
        <w:tblPrEx>
          <w:tblW w:w="5000" w:type="pct"/>
          <w:tblLook w:val="0000"/>
        </w:tblPrEx>
        <w:tc>
          <w:tcPr>
            <w:tcW w:w="1638" w:type="pct"/>
            <w:shd w:val="clear" w:color="auto" w:fill="auto"/>
          </w:tcPr>
          <w:p w:rsidR="008D77ED" w:rsidRPr="004C7F8B" w:rsidP="00090C9E">
            <w:pPr>
              <w:rPr>
                <w:rFonts w:ascii="宋体" w:hAnsi="宋体"/>
                <w:color w:val="000000"/>
                <w:szCs w:val="21"/>
                <w:shd w:val="clear" w:color="auto" w:fill="FFFFFF"/>
              </w:rPr>
            </w:pPr>
            <w:r>
              <w:rPr>
                <w:rFonts w:ascii="宋体" w:hAnsi="宋体" w:hint="eastAsia"/>
                <w:color w:val="000000"/>
                <w:szCs w:val="21"/>
                <w:shd w:val="clear" w:color="auto" w:fill="FFFFFF"/>
              </w:rPr>
              <w:t>杠杆</w:t>
            </w:r>
            <w:r>
              <w:rPr>
                <w:rFonts w:ascii="宋体" w:hAnsi="宋体"/>
                <w:color w:val="000000"/>
                <w:szCs w:val="21"/>
                <w:shd w:val="clear" w:color="auto" w:fill="FFFFFF"/>
              </w:rPr>
              <w:t>水平</w:t>
            </w:r>
          </w:p>
        </w:tc>
        <w:tc>
          <w:tcPr>
            <w:tcW w:w="3362" w:type="pct"/>
            <w:shd w:val="clear" w:color="auto" w:fill="auto"/>
          </w:tcPr>
          <w:p w:rsidR="008D77ED" w:rsidRPr="004C7F8B" w:rsidP="00090C9E">
            <w:pPr>
              <w:rPr>
                <w:rFonts w:ascii="宋体" w:hAnsi="宋体"/>
                <w:kern w:val="0"/>
                <w:szCs w:val="21"/>
                <w:shd w:val="clear" w:color="auto" w:fill="FFFFFF"/>
              </w:rPr>
            </w:pPr>
            <w:r w:rsidRPr="001A7042">
              <w:rPr>
                <w:rFonts w:ascii="宋体" w:hAnsi="宋体"/>
                <w:kern w:val="0"/>
                <w:szCs w:val="21"/>
                <w:shd w:val="clear" w:color="auto" w:fill="FFFFFF"/>
              </w:rPr>
              <w:t>符合监管或产品协议要求</w:t>
            </w:r>
          </w:p>
        </w:tc>
      </w:tr>
      <w:tr w:rsidTr="00905872">
        <w:tblPrEx>
          <w:tblW w:w="5000" w:type="pct"/>
          <w:tblLook w:val="0000"/>
        </w:tblPrEx>
        <w:tc>
          <w:tcPr>
            <w:tcW w:w="1638" w:type="pct"/>
            <w:shd w:val="clear" w:color="auto" w:fill="auto"/>
          </w:tcPr>
          <w:p w:rsidR="008D77ED" w:rsidRPr="004C7F8B" w:rsidP="00090C9E">
            <w:pPr>
              <w:rPr>
                <w:rFonts w:ascii="宋体" w:hAnsi="宋体"/>
                <w:szCs w:val="21"/>
                <w:shd w:val="clear" w:color="auto" w:fill="FFFFFF"/>
              </w:rPr>
            </w:pPr>
            <w:r>
              <w:rPr>
                <w:rFonts w:ascii="宋体" w:hAnsi="宋体" w:hint="eastAsia"/>
                <w:color w:val="000000"/>
                <w:szCs w:val="21"/>
                <w:shd w:val="clear" w:color="auto" w:fill="FFFFFF"/>
              </w:rPr>
              <w:t>报告</w:t>
            </w:r>
            <w:r>
              <w:rPr>
                <w:rFonts w:ascii="宋体" w:hAnsi="宋体" w:hint="eastAsia"/>
                <w:color w:val="000000"/>
                <w:szCs w:val="21"/>
                <w:shd w:val="clear" w:color="auto" w:fill="FFFFFF"/>
              </w:rPr>
              <w:t>期末理财产品份额总额</w:t>
            </w:r>
          </w:p>
        </w:tc>
        <w:tc>
          <w:tcPr>
            <w:tcW w:w="3362" w:type="pct"/>
            <w:shd w:val="clear" w:color="auto" w:fill="auto"/>
          </w:tcPr>
          <w:p w:rsidR="008D77ED" w:rsidRPr="004C7F8B" w:rsidP="00090C9E">
            <w:pPr>
              <w:rPr>
                <w:rFonts w:ascii="宋体" w:hAnsi="宋体"/>
                <w:kern w:val="0"/>
                <w:szCs w:val="21"/>
                <w:shd w:val="clear" w:color="auto" w:fill="FFFFFF"/>
              </w:rPr>
            </w:pPr>
            <w:r>
              <w:rPr>
                <w:rFonts w:ascii="宋体" w:eastAsia="宋体" w:hAnsi="宋体" w:cs="宋体"/>
                <w:b w:val="0"/>
                <w:i w:val="0"/>
                <w:color w:val="000000"/>
                <w:position w:val="-1"/>
                <w:u w:val="none"/>
              </w:rPr>
              <w:t>3,137,669,849.53</w:t>
            </w:r>
          </w:p>
        </w:tc>
      </w:tr>
      <w:tr w:rsidTr="00905872">
        <w:tblPrEx>
          <w:tblW w:w="5000" w:type="pct"/>
          <w:tblLook w:val="0000"/>
        </w:tblPrEx>
        <w:tc>
          <w:tcPr>
            <w:tcW w:w="1638" w:type="pct"/>
            <w:shd w:val="clear" w:color="auto" w:fill="auto"/>
          </w:tcPr>
          <w:p w:rsidR="008D77ED" w:rsidRPr="004C7F8B" w:rsidP="00090C9E">
            <w:pPr>
              <w:rPr>
                <w:rFonts w:ascii="宋体" w:hAnsi="宋体"/>
                <w:szCs w:val="21"/>
                <w:shd w:val="clear" w:color="auto" w:fill="FFFFFF"/>
              </w:rPr>
            </w:pPr>
            <w:r>
              <w:rPr>
                <w:rFonts w:ascii="宋体" w:hAnsi="宋体" w:hint="eastAsia"/>
                <w:color w:val="000000"/>
                <w:szCs w:val="21"/>
                <w:shd w:val="clear" w:color="auto" w:fill="FFFFFF"/>
              </w:rPr>
              <w:t>理财产品成立</w:t>
            </w:r>
            <w:r w:rsidRPr="004C7F8B">
              <w:rPr>
                <w:rFonts w:ascii="宋体" w:hAnsi="宋体" w:hint="eastAsia"/>
                <w:color w:val="000000"/>
                <w:szCs w:val="21"/>
                <w:shd w:val="clear" w:color="auto" w:fill="FFFFFF"/>
              </w:rPr>
              <w:t>日</w:t>
            </w:r>
          </w:p>
        </w:tc>
        <w:tc>
          <w:tcPr>
            <w:tcW w:w="3362" w:type="pct"/>
            <w:shd w:val="clear" w:color="auto" w:fill="auto"/>
          </w:tcPr>
          <w:p w:rsidR="008D77ED" w:rsidRPr="004C7F8B" w:rsidP="00090C9E">
            <w:pPr>
              <w:rPr>
                <w:rFonts w:ascii="宋体" w:hAnsi="宋体"/>
                <w:kern w:val="0"/>
                <w:szCs w:val="21"/>
                <w:shd w:val="clear" w:color="auto" w:fill="FFFFFF"/>
              </w:rPr>
            </w:pPr>
            <w:r>
              <w:rPr>
                <w:rFonts w:ascii="宋体" w:eastAsia="宋体" w:hAnsi="宋体" w:cs="宋体"/>
                <w:b w:val="0"/>
                <w:i w:val="0"/>
                <w:color w:val="000000"/>
                <w:position w:val="-1"/>
                <w:u w:val="none"/>
              </w:rPr>
              <w:t>2021年09月23日</w:t>
            </w:r>
          </w:p>
        </w:tc>
      </w:tr>
      <w:tr w:rsidTr="00905872">
        <w:tblPrEx>
          <w:tblW w:w="5000" w:type="pct"/>
          <w:tblLook w:val="0000"/>
        </w:tblPrEx>
        <w:tc>
          <w:tcPr>
            <w:tcW w:w="1638" w:type="pct"/>
            <w:shd w:val="clear" w:color="auto" w:fill="auto"/>
          </w:tcPr>
          <w:p w:rsidR="008D77ED" w:rsidRPr="004C7F8B" w:rsidP="00090C9E">
            <w:pPr>
              <w:rPr>
                <w:rFonts w:ascii="宋体" w:hAnsi="宋体"/>
                <w:szCs w:val="21"/>
                <w:shd w:val="clear" w:color="auto" w:fill="FFFFFF"/>
              </w:rPr>
            </w:pPr>
            <w:r>
              <w:rPr>
                <w:rFonts w:ascii="宋体" w:hAnsi="宋体" w:hint="eastAsia"/>
                <w:color w:val="000000"/>
                <w:szCs w:val="21"/>
                <w:shd w:val="clear" w:color="auto" w:fill="FFFFFF"/>
              </w:rPr>
              <w:t>理财产品计划</w:t>
            </w:r>
            <w:r w:rsidRPr="004C7F8B">
              <w:rPr>
                <w:rFonts w:ascii="宋体" w:hAnsi="宋体" w:hint="eastAsia"/>
                <w:color w:val="000000"/>
                <w:szCs w:val="21"/>
                <w:shd w:val="clear" w:color="auto" w:fill="FFFFFF"/>
              </w:rPr>
              <w:t>到期日</w:t>
            </w:r>
          </w:p>
        </w:tc>
        <w:tc>
          <w:tcPr>
            <w:tcW w:w="3362" w:type="pct"/>
            <w:shd w:val="clear" w:color="auto" w:fill="auto"/>
          </w:tcPr>
          <w:p w:rsidR="008D77ED" w:rsidRPr="004C7F8B" w:rsidP="00090C9E">
            <w:pPr>
              <w:rPr>
                <w:rFonts w:ascii="宋体" w:hAnsi="宋体"/>
                <w:kern w:val="0"/>
                <w:szCs w:val="21"/>
                <w:shd w:val="clear" w:color="auto" w:fill="FFFFFF"/>
              </w:rPr>
            </w:pPr>
            <w:r>
              <w:rPr>
                <w:rFonts w:ascii="宋体" w:eastAsia="宋体" w:hAnsi="宋体" w:cs="宋体"/>
                <w:b w:val="0"/>
                <w:i w:val="0"/>
                <w:color w:val="000000"/>
                <w:position w:val="-1"/>
                <w:u w:val="none"/>
              </w:rPr>
              <w:t>2031年09月23日（如遇非工作日顺延至下一工作日，或在理财计划存续期内理财产品管理人根据本产品说明书约定事由宣布提前或延期终止本理财计划之日。）</w:t>
            </w:r>
          </w:p>
        </w:tc>
      </w:tr>
    </w:tbl>
    <w:p w:rsidR="008A10D2" w:rsidRPr="008A10D2" w:rsidP="008A10D2">
      <w:pPr>
        <w:rPr>
          <w:rFonts w:ascii="宋体" w:hAnsi="宋体"/>
          <w:szCs w:val="21"/>
          <w:shd w:val="clear" w:color="auto" w:fill="FFFFFF"/>
        </w:rPr>
      </w:pPr>
      <w:r>
        <w:rPr>
          <w:rFonts w:ascii="宋体" w:hAnsi="宋体" w:hint="eastAsia"/>
          <w:szCs w:val="21"/>
          <w:shd w:val="clear" w:color="auto" w:fill="FFFFFF"/>
        </w:rPr>
        <w:t>注：</w:t>
      </w:r>
      <w:r w:rsidRPr="008A10D2">
        <w:rPr>
          <w:rFonts w:ascii="宋体" w:hAnsi="宋体" w:hint="eastAsia"/>
          <w:szCs w:val="21"/>
          <w:shd w:val="clear" w:color="auto" w:fill="FFFFFF"/>
        </w:rPr>
        <w:t>业绩比较基准是本机构基于产品性质、投资策略、过往经验等因素对产品设定的投资目标，不代表产品的未来表现和实际收益，不构成对产品收益的承诺。投资者不应将业绩比较基准作为持有本理财计划份额到期的综合投资收益参考值。</w:t>
      </w:r>
    </w:p>
    <w:p w:rsidR="00380479" w:rsidRPr="00A642F9">
      <w:pPr>
        <w:pStyle w:val="Heading1"/>
        <w:jc w:val="center"/>
        <w:rPr>
          <w:rFonts w:ascii="宋体" w:hAnsi="宋体"/>
          <w:sz w:val="24"/>
          <w:szCs w:val="24"/>
          <w:shd w:val="clear" w:color="auto" w:fill="FFFFFF"/>
        </w:rPr>
      </w:pPr>
      <w:bookmarkStart w:id="4" w:name="_Toc256000004"/>
      <w:r w:rsidRPr="00A642F9">
        <w:rPr>
          <w:rFonts w:ascii="宋体" w:hAnsi="宋体" w:hint="eastAsia"/>
          <w:sz w:val="24"/>
          <w:szCs w:val="24"/>
          <w:shd w:val="clear" w:color="auto" w:fill="FFFFFF"/>
        </w:rPr>
        <w:t>§3 理财产品净值表现</w:t>
      </w:r>
      <w:bookmarkEnd w:id="4"/>
    </w:p>
    <w:p w:rsidR="00380479" w:rsidRPr="00A642F9" w:rsidP="003F7FB0">
      <w:pPr>
        <w:pStyle w:val="Heading2"/>
        <w:rPr>
          <w:sz w:val="24"/>
          <w:szCs w:val="24"/>
          <w:shd w:val="clear" w:color="auto" w:fill="FFFFFF"/>
        </w:rPr>
      </w:pPr>
      <w:bookmarkStart w:id="5" w:name="_Toc256000005"/>
      <w:r w:rsidRPr="00A642F9">
        <w:rPr>
          <w:rFonts w:hint="eastAsia"/>
          <w:sz w:val="24"/>
          <w:szCs w:val="24"/>
          <w:shd w:val="clear" w:color="auto" w:fill="FFFFFF"/>
        </w:rPr>
        <w:t>3.1 截至报告期末产品资产净值及份额净值</w:t>
      </w:r>
      <w:bookmarkEnd w:id="5"/>
    </w:p>
    <w:p w:rsidR="00055790" w:rsidP="00BF5002">
      <w:pPr>
        <w:adjustRightInd w:val="0"/>
        <w:snapToGrid w:val="0"/>
        <w:ind w:firstLine="420" w:firstLineChars="200"/>
        <w:rPr>
          <w:rFonts w:ascii="宋体" w:hAnsi="宋体"/>
          <w:sz w:val="24"/>
          <w:szCs w:val="24"/>
        </w:rPr>
      </w:pPr>
      <w:r w:rsidRPr="00D53094">
        <w:rPr>
          <w:rFonts w:ascii="宋体" w:hAnsi="宋体" w:hint="eastAsia"/>
          <w:sz w:val="24"/>
          <w:szCs w:val="24"/>
          <w:shd w:val="clear" w:color="auto" w:fill="FFFFFF"/>
        </w:rPr>
        <w:t>截至本报告期末，产品的资产净值为</w:t>
      </w:r>
      <w:r>
        <w:rPr>
          <w:rFonts w:ascii="宋体" w:eastAsia="宋体" w:hAnsi="宋体" w:cs="宋体"/>
          <w:b w:val="0"/>
          <w:i w:val="0"/>
          <w:color w:val="000000"/>
          <w:position w:val="-1"/>
          <w:sz w:val="24"/>
          <w:u w:val="none"/>
        </w:rPr>
        <w:t>3,408,556,096.87</w:t>
      </w:r>
      <w:r>
        <w:rPr>
          <w:rFonts w:ascii="宋体" w:eastAsia="宋体" w:hAnsi="宋体" w:cs="宋体"/>
          <w:b w:val="0"/>
          <w:i w:val="0"/>
          <w:color w:val="000000"/>
          <w:position w:val="-1"/>
          <w:sz w:val="24"/>
          <w:u w:val="none"/>
        </w:rPr>
        <w:t>元</w:t>
      </w:r>
      <w:r>
        <w:rPr>
          <w:rFonts w:ascii="宋体" w:eastAsia="宋体" w:hAnsi="宋体" w:cs="宋体"/>
          <w:b w:val="0"/>
          <w:i w:val="0"/>
          <w:color w:val="000000"/>
          <w:position w:val="-1"/>
          <w:sz w:val="24"/>
          <w:u w:val="none"/>
        </w:rPr>
        <w:t>。其中，销售代码【107514】份额为3,095,471,838.21份，份额净值为1.0863元，份额累计净值为1.0863元；销售代码【17514MS】份额为6,635,400.20份，份额净值为1.0865元，份额累计净值为1.0865元；销售代码【17514TL】份额为35,562,611.12份，份额净值为1.0865元，份额累计净值为1.0865元。</w:t>
      </w:r>
    </w:p>
    <w:p w:rsidR="008A10D2" w:rsidP="008A10D2">
      <w:pPr>
        <w:ind w:firstLine="420" w:firstLineChars="200"/>
        <w:rPr>
          <w:rFonts w:ascii="宋体" w:hAnsi="宋体"/>
          <w:szCs w:val="21"/>
          <w:shd w:val="clear" w:color="auto" w:fill="FFFFFF"/>
        </w:rPr>
      </w:pPr>
      <w:r w:rsidRPr="008A10D2">
        <w:rPr>
          <w:rFonts w:ascii="宋体" w:hAnsi="宋体" w:hint="eastAsia"/>
          <w:szCs w:val="21"/>
          <w:shd w:val="clear" w:color="auto" w:fill="FFFFFF"/>
        </w:rPr>
        <w:t>注：</w:t>
      </w:r>
    </w:p>
    <w:p w:rsidR="008A10D2" w:rsidRPr="008A10D2" w:rsidP="008A10D2">
      <w:pPr>
        <w:ind w:firstLine="420" w:firstLineChars="200"/>
        <w:rPr>
          <w:rFonts w:ascii="宋体" w:hAnsi="宋体"/>
          <w:szCs w:val="21"/>
          <w:shd w:val="clear" w:color="auto" w:fill="FFFFFF"/>
        </w:rPr>
      </w:pPr>
      <w:r>
        <w:rPr>
          <w:rFonts w:ascii="宋体" w:hAnsi="宋体"/>
          <w:szCs w:val="21"/>
          <w:shd w:val="clear" w:color="auto" w:fill="FFFFFF"/>
        </w:rPr>
        <w:t>1</w:t>
      </w:r>
      <w:r>
        <w:rPr>
          <w:rFonts w:ascii="宋体" w:hAnsi="宋体" w:hint="eastAsia"/>
          <w:szCs w:val="21"/>
          <w:shd w:val="clear" w:color="auto" w:fill="FFFFFF"/>
        </w:rPr>
        <w:t>.</w:t>
      </w:r>
      <w:r w:rsidRPr="008A10D2">
        <w:rPr>
          <w:rFonts w:ascii="宋体" w:hAnsi="宋体"/>
          <w:szCs w:val="21"/>
          <w:shd w:val="clear" w:color="auto" w:fill="FFFFFF"/>
        </w:rPr>
        <w:t>份额净值=资产净值/份额总额；份额累计净值=份额净值+产品成立后份额的累计分红金额。</w:t>
      </w:r>
    </w:p>
    <w:p w:rsidR="00491CFA" w:rsidRPr="00905D7C" w:rsidP="00905D7C">
      <w:pPr>
        <w:ind w:firstLine="420" w:firstLineChars="200"/>
        <w:rPr>
          <w:rFonts w:ascii="宋体" w:hAnsi="宋体"/>
          <w:szCs w:val="21"/>
          <w:shd w:val="clear" w:color="auto" w:fill="FFFFFF"/>
        </w:rPr>
      </w:pPr>
      <w:r>
        <w:rPr>
          <w:rFonts w:ascii="宋体" w:eastAsia="宋体" w:hAnsi="宋体" w:cs="宋体"/>
          <w:b w:val="0"/>
          <w:i w:val="0"/>
          <w:color w:val="000000"/>
          <w:position w:val="-1"/>
          <w:u w:val="none"/>
        </w:rPr>
        <w:t>2.根据产品说明书，因理财计划发行对象不同，会有不同的销售代码，不同销售代码可能存在理财计划销售服务费收费条件、收费标准和收费方式等的不同，以及因净值计算过程产生尾差等原因，均可能导致各份额单位净值、单位累计净值不完全一致。</w:t>
      </w:r>
    </w:p>
    <w:p w:rsidR="00380479" w:rsidRPr="00A642F9" w:rsidP="003F7FB0">
      <w:pPr>
        <w:pStyle w:val="Heading2"/>
        <w:rPr>
          <w:sz w:val="24"/>
          <w:szCs w:val="24"/>
          <w:shd w:val="clear" w:color="auto" w:fill="FFFFFF"/>
        </w:rPr>
      </w:pPr>
      <w:bookmarkStart w:id="6" w:name="_Toc256000006"/>
      <w:r w:rsidRPr="00A642F9">
        <w:rPr>
          <w:rFonts w:hint="eastAsia"/>
          <w:sz w:val="24"/>
          <w:szCs w:val="24"/>
          <w:shd w:val="clear" w:color="auto" w:fill="FFFFFF"/>
        </w:rPr>
        <w:t>3.2 理财产品年化收益率</w:t>
      </w:r>
      <w:bookmarkEnd w:id="6"/>
    </w:p>
    <w:tbl>
      <w:tblPr>
        <w:tblpPr w:leftFromText="180" w:rightFromText="180" w:vertAnchor="text" w:horzAnchor="margin" w:tblpXSpec="center" w:tblpY="270"/>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71"/>
        <w:gridCol w:w="992"/>
        <w:gridCol w:w="993"/>
        <w:gridCol w:w="850"/>
        <w:gridCol w:w="851"/>
        <w:gridCol w:w="992"/>
        <w:gridCol w:w="992"/>
        <w:gridCol w:w="992"/>
        <w:gridCol w:w="1134"/>
      </w:tblGrid>
      <w:tr w:rsidTr="00B45516">
        <w:tblPrEx>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rPr>
          <w:trHeight w:val="841"/>
          <w:jc w:val="center"/>
        </w:trPr>
        <w:tc>
          <w:tcPr>
            <w:tcW w:w="1271" w:type="dxa"/>
            <w:shd w:val="clear" w:color="auto" w:fill="BFBFBF"/>
            <w:vAlign w:val="center"/>
          </w:tcPr>
          <w:p w:rsidR="00436AFF" w:rsidRPr="00654677" w:rsidP="00436AFF">
            <w:pPr>
              <w:widowControl/>
              <w:jc w:val="center"/>
              <w:rPr>
                <w:rFonts w:ascii="宋体" w:hAnsi="宋体" w:cs="宋体"/>
                <w:b/>
                <w:color w:val="333333"/>
                <w:kern w:val="0"/>
                <w:szCs w:val="21"/>
                <w:highlight w:val="lightGray"/>
                <w:shd w:val="clear" w:color="auto" w:fill="FFFFFF"/>
              </w:rPr>
            </w:pPr>
            <w:r w:rsidRPr="00654677">
              <w:rPr>
                <w:rFonts w:ascii="宋体" w:hAnsi="宋体" w:cs="宋体" w:hint="eastAsia"/>
                <w:b/>
                <w:szCs w:val="21"/>
              </w:rPr>
              <w:t>阶段</w:t>
            </w:r>
          </w:p>
        </w:tc>
        <w:tc>
          <w:tcPr>
            <w:tcW w:w="992" w:type="dxa"/>
            <w:shd w:val="clear" w:color="auto" w:fill="BFBFBF"/>
            <w:vAlign w:val="center"/>
          </w:tcPr>
          <w:p w:rsidR="00436AFF" w:rsidRPr="00654677" w:rsidP="00436AFF">
            <w:pPr>
              <w:widowControl/>
              <w:jc w:val="center"/>
              <w:rPr>
                <w:rFonts w:ascii="宋体" w:hAnsi="宋体" w:cs="宋体"/>
                <w:b/>
                <w:color w:val="333333"/>
                <w:kern w:val="0"/>
                <w:szCs w:val="21"/>
                <w:highlight w:val="lightGray"/>
                <w:shd w:val="clear" w:color="auto" w:fill="FFFFFF"/>
              </w:rPr>
            </w:pPr>
            <w:r>
              <w:rPr>
                <w:rFonts w:ascii="宋体" w:hAnsi="宋体" w:cs="宋体" w:hint="eastAsia"/>
                <w:b/>
                <w:szCs w:val="21"/>
              </w:rPr>
              <w:t>近</w:t>
            </w:r>
            <w:r w:rsidRPr="00654677">
              <w:rPr>
                <w:rFonts w:ascii="宋体" w:hAnsi="宋体" w:cs="宋体" w:hint="eastAsia"/>
                <w:b/>
                <w:szCs w:val="21"/>
              </w:rPr>
              <w:t>三个月</w:t>
            </w:r>
          </w:p>
        </w:tc>
        <w:tc>
          <w:tcPr>
            <w:tcW w:w="993" w:type="dxa"/>
            <w:shd w:val="clear" w:color="auto" w:fill="BFBFBF"/>
            <w:vAlign w:val="center"/>
          </w:tcPr>
          <w:p w:rsidR="00436AFF" w:rsidRPr="00654677" w:rsidP="00436AFF">
            <w:pPr>
              <w:widowControl/>
              <w:jc w:val="center"/>
              <w:rPr>
                <w:rFonts w:ascii="宋体" w:hAnsi="宋体" w:cs="宋体"/>
                <w:b/>
                <w:color w:val="333333"/>
                <w:kern w:val="0"/>
                <w:szCs w:val="21"/>
                <w:highlight w:val="lightGray"/>
                <w:shd w:val="clear" w:color="auto" w:fill="FFFFFF"/>
              </w:rPr>
            </w:pPr>
            <w:r>
              <w:rPr>
                <w:rFonts w:ascii="宋体" w:hAnsi="宋体" w:cs="宋体" w:hint="eastAsia"/>
                <w:b/>
                <w:szCs w:val="21"/>
              </w:rPr>
              <w:t>近</w:t>
            </w:r>
            <w:r w:rsidRPr="00654677">
              <w:rPr>
                <w:rFonts w:ascii="宋体" w:hAnsi="宋体" w:cs="宋体" w:hint="eastAsia"/>
                <w:b/>
                <w:szCs w:val="21"/>
              </w:rPr>
              <w:t>六个月</w:t>
            </w:r>
          </w:p>
        </w:tc>
        <w:tc>
          <w:tcPr>
            <w:tcW w:w="850" w:type="dxa"/>
            <w:shd w:val="clear" w:color="auto" w:fill="BFBFBF"/>
            <w:vAlign w:val="center"/>
          </w:tcPr>
          <w:p w:rsidR="00436AFF" w:rsidRPr="00661791" w:rsidP="00436AFF">
            <w:pPr>
              <w:widowControl/>
              <w:jc w:val="center"/>
              <w:rPr>
                <w:rFonts w:ascii="宋体" w:hAnsi="宋体" w:cs="宋体"/>
                <w:b/>
                <w:szCs w:val="21"/>
              </w:rPr>
            </w:pPr>
            <w:r w:rsidRPr="00661791">
              <w:rPr>
                <w:rFonts w:ascii="宋体" w:hAnsi="宋体" w:cs="宋体" w:hint="eastAsia"/>
                <w:b/>
                <w:szCs w:val="21"/>
              </w:rPr>
              <w:t>近1个会计年度</w:t>
            </w:r>
          </w:p>
        </w:tc>
        <w:tc>
          <w:tcPr>
            <w:tcW w:w="851" w:type="dxa"/>
            <w:shd w:val="clear" w:color="auto" w:fill="BFBFBF"/>
            <w:vAlign w:val="center"/>
          </w:tcPr>
          <w:p w:rsidR="00436AFF" w:rsidRPr="00654677" w:rsidP="00436AFF">
            <w:pPr>
              <w:widowControl/>
              <w:jc w:val="center"/>
              <w:rPr>
                <w:rFonts w:ascii="宋体" w:hAnsi="宋体" w:cs="宋体"/>
                <w:b/>
                <w:szCs w:val="21"/>
              </w:rPr>
            </w:pPr>
            <w:r>
              <w:rPr>
                <w:rFonts w:ascii="宋体" w:hAnsi="宋体" w:cs="宋体" w:hint="eastAsia"/>
                <w:b/>
                <w:szCs w:val="21"/>
              </w:rPr>
              <w:t>近2个会计年度</w:t>
            </w:r>
          </w:p>
        </w:tc>
        <w:tc>
          <w:tcPr>
            <w:tcW w:w="992" w:type="dxa"/>
            <w:shd w:val="clear" w:color="auto" w:fill="BFBFBF"/>
            <w:vAlign w:val="center"/>
          </w:tcPr>
          <w:p w:rsidR="00436AFF" w:rsidRPr="00654677" w:rsidP="00436AFF">
            <w:pPr>
              <w:widowControl/>
              <w:jc w:val="center"/>
              <w:rPr>
                <w:rFonts w:ascii="宋体" w:hAnsi="宋体" w:cs="宋体"/>
                <w:b/>
                <w:color w:val="333333"/>
                <w:kern w:val="0"/>
                <w:szCs w:val="21"/>
                <w:highlight w:val="lightGray"/>
                <w:shd w:val="clear" w:color="auto" w:fill="FFFFFF"/>
              </w:rPr>
            </w:pPr>
            <w:r>
              <w:rPr>
                <w:rFonts w:ascii="宋体" w:hAnsi="宋体" w:cs="宋体" w:hint="eastAsia"/>
                <w:b/>
                <w:szCs w:val="21"/>
              </w:rPr>
              <w:t>近3个会计年度</w:t>
            </w:r>
          </w:p>
        </w:tc>
        <w:tc>
          <w:tcPr>
            <w:tcW w:w="992" w:type="dxa"/>
            <w:shd w:val="clear" w:color="auto" w:fill="BFBFBF"/>
            <w:vAlign w:val="center"/>
          </w:tcPr>
          <w:p w:rsidR="00436AFF" w:rsidRPr="00654677" w:rsidP="00436AFF">
            <w:pPr>
              <w:widowControl/>
              <w:jc w:val="center"/>
              <w:rPr>
                <w:rFonts w:ascii="宋体" w:hAnsi="宋体" w:cs="宋体"/>
                <w:b/>
                <w:szCs w:val="21"/>
              </w:rPr>
            </w:pPr>
            <w:r>
              <w:rPr>
                <w:rFonts w:ascii="宋体" w:hAnsi="宋体" w:cs="宋体" w:hint="eastAsia"/>
                <w:b/>
                <w:szCs w:val="21"/>
              </w:rPr>
              <w:t>近4个会计年度</w:t>
            </w:r>
          </w:p>
        </w:tc>
        <w:tc>
          <w:tcPr>
            <w:tcW w:w="992" w:type="dxa"/>
            <w:shd w:val="clear" w:color="auto" w:fill="BFBFBF"/>
            <w:vAlign w:val="center"/>
          </w:tcPr>
          <w:p w:rsidR="00436AFF" w:rsidRPr="00654677" w:rsidP="00436AFF">
            <w:pPr>
              <w:widowControl/>
              <w:jc w:val="center"/>
              <w:rPr>
                <w:rFonts w:ascii="宋体" w:hAnsi="宋体" w:cs="宋体"/>
                <w:b/>
                <w:color w:val="333333"/>
                <w:kern w:val="0"/>
                <w:szCs w:val="21"/>
                <w:highlight w:val="lightGray"/>
                <w:shd w:val="clear" w:color="auto" w:fill="FFFFFF"/>
              </w:rPr>
            </w:pPr>
            <w:r>
              <w:rPr>
                <w:rFonts w:ascii="宋体" w:hAnsi="宋体" w:cs="宋体" w:hint="eastAsia"/>
                <w:b/>
                <w:szCs w:val="21"/>
              </w:rPr>
              <w:t>近5个会计年度</w:t>
            </w:r>
          </w:p>
        </w:tc>
        <w:tc>
          <w:tcPr>
            <w:tcW w:w="1134" w:type="dxa"/>
            <w:shd w:val="clear" w:color="auto" w:fill="BFBFBF"/>
            <w:vAlign w:val="center"/>
          </w:tcPr>
          <w:p w:rsidR="00436AFF" w:rsidRPr="00654677" w:rsidP="00436AFF">
            <w:pPr>
              <w:widowControl/>
              <w:jc w:val="center"/>
              <w:rPr>
                <w:rFonts w:ascii="宋体" w:hAnsi="宋体" w:cs="宋体"/>
                <w:b/>
                <w:color w:val="333333"/>
                <w:kern w:val="0"/>
                <w:szCs w:val="21"/>
                <w:highlight w:val="lightGray"/>
                <w:shd w:val="clear" w:color="auto" w:fill="FFFFFF"/>
              </w:rPr>
            </w:pPr>
            <w:r>
              <w:rPr>
                <w:rFonts w:ascii="宋体" w:hAnsi="宋体" w:cs="宋体" w:hint="eastAsia"/>
                <w:b/>
                <w:szCs w:val="21"/>
              </w:rPr>
              <w:t>成立</w:t>
            </w:r>
            <w:r w:rsidRPr="00654677">
              <w:rPr>
                <w:rFonts w:ascii="宋体" w:hAnsi="宋体" w:cs="宋体" w:hint="eastAsia"/>
                <w:b/>
                <w:szCs w:val="21"/>
              </w:rPr>
              <w:t>至今</w:t>
            </w:r>
          </w:p>
        </w:tc>
      </w:tr>
      <w:tr w:rsidTr="00B45516">
        <w:tblPrEx>
          <w:tblW w:w="9067" w:type="dxa"/>
          <w:jc w:val="center"/>
          <w:tblLayout w:type="fixed"/>
          <w:tblLook w:val="0000"/>
        </w:tblPrEx>
        <w:trPr>
          <w:trHeight w:val="892"/>
          <w:jc w:val="center"/>
        </w:trPr>
        <w:tc>
          <w:tcPr>
            <w:tcW w:w="1271" w:type="dxa"/>
            <w:tcBorders>
              <w:top w:val="single" w:sz="4" w:space="0" w:color="auto"/>
              <w:left w:val="single" w:sz="4" w:space="0" w:color="auto"/>
              <w:bottom w:val="single" w:sz="4" w:space="0" w:color="auto"/>
              <w:right w:val="single" w:sz="4" w:space="0" w:color="auto"/>
            </w:tcBorders>
            <w:vAlign w:val="center"/>
          </w:tcPr>
          <w:p w:rsidR="00436AFF" w:rsidRPr="00712E2F" w:rsidP="00436AFF">
            <w:pPr>
              <w:snapToGrid w:val="0"/>
              <w:jc w:val="center"/>
              <w:rPr>
                <w:rFonts w:ascii="宋体" w:hAnsi="宋体"/>
                <w:szCs w:val="21"/>
                <w:shd w:val="clear" w:color="auto" w:fill="FFFFFF"/>
              </w:rPr>
            </w:pPr>
            <w:r w:rsidRPr="00712E2F">
              <w:rPr>
                <w:rFonts w:ascii="宋体" w:hAnsi="宋体" w:hint="eastAsia"/>
                <w:szCs w:val="21"/>
                <w:shd w:val="clear" w:color="auto" w:fill="FFFFFF"/>
              </w:rPr>
              <w:t>年化</w:t>
            </w:r>
            <w:r w:rsidRPr="00712E2F">
              <w:rPr>
                <w:rFonts w:ascii="宋体" w:hAnsi="宋体"/>
                <w:szCs w:val="21"/>
                <w:shd w:val="clear" w:color="auto" w:fill="FFFFFF"/>
              </w:rPr>
              <w:t>收益率</w:t>
            </w:r>
          </w:p>
        </w:tc>
        <w:tc>
          <w:tcPr>
            <w:tcW w:w="992" w:type="dxa"/>
            <w:tcBorders>
              <w:top w:val="single" w:sz="4" w:space="0" w:color="auto"/>
              <w:left w:val="single" w:sz="4" w:space="0" w:color="auto"/>
              <w:bottom w:val="single" w:sz="4" w:space="0" w:color="auto"/>
              <w:right w:val="single" w:sz="4" w:space="0" w:color="auto"/>
            </w:tcBorders>
            <w:vAlign w:val="center"/>
          </w:tcPr>
          <w:p w:rsidR="00436AFF" w:rsidRPr="00712E2F" w:rsidP="00436AFF">
            <w:pPr>
              <w:snapToGrid w:val="0"/>
              <w:jc w:val="center"/>
              <w:rPr>
                <w:rFonts w:ascii="宋体" w:hAnsi="宋体"/>
                <w:szCs w:val="21"/>
                <w:shd w:val="clear" w:color="auto" w:fill="FFFFFF"/>
              </w:rPr>
            </w:pPr>
            <w:r>
              <w:rPr>
                <w:rFonts w:ascii="宋体" w:eastAsia="宋体" w:hAnsi="宋体" w:cs="宋体"/>
                <w:b w:val="0"/>
                <w:i w:val="0"/>
                <w:color w:val="000000"/>
                <w:position w:val="-1"/>
                <w:u w:val="none"/>
              </w:rPr>
              <w:t>2.54%</w:t>
            </w:r>
          </w:p>
        </w:tc>
        <w:tc>
          <w:tcPr>
            <w:tcW w:w="993" w:type="dxa"/>
            <w:tcBorders>
              <w:top w:val="single" w:sz="4" w:space="0" w:color="auto"/>
              <w:left w:val="single" w:sz="4" w:space="0" w:color="auto"/>
              <w:bottom w:val="single" w:sz="4" w:space="0" w:color="auto"/>
              <w:right w:val="single" w:sz="4" w:space="0" w:color="auto"/>
            </w:tcBorders>
            <w:vAlign w:val="center"/>
          </w:tcPr>
          <w:p w:rsidR="00436AFF" w:rsidRPr="00712E2F" w:rsidP="00436AFF">
            <w:pPr>
              <w:snapToGrid w:val="0"/>
              <w:jc w:val="center"/>
              <w:rPr>
                <w:rFonts w:ascii="宋体" w:hAnsi="宋体"/>
                <w:szCs w:val="21"/>
                <w:shd w:val="clear" w:color="auto" w:fill="FFFFFF"/>
              </w:rPr>
            </w:pPr>
            <w:r>
              <w:rPr>
                <w:rFonts w:ascii="宋体" w:eastAsia="宋体" w:hAnsi="宋体" w:cs="宋体"/>
                <w:b w:val="0"/>
                <w:i w:val="0"/>
                <w:color w:val="000000"/>
                <w:position w:val="-1"/>
                <w:u w:val="none"/>
              </w:rPr>
              <w:t>2.18%</w:t>
            </w:r>
          </w:p>
        </w:tc>
        <w:tc>
          <w:tcPr>
            <w:tcW w:w="850" w:type="dxa"/>
            <w:tcBorders>
              <w:top w:val="single" w:sz="4" w:space="0" w:color="auto"/>
              <w:left w:val="single" w:sz="4" w:space="0" w:color="auto"/>
              <w:bottom w:val="single" w:sz="4" w:space="0" w:color="auto"/>
              <w:right w:val="single" w:sz="4" w:space="0" w:color="auto"/>
            </w:tcBorders>
            <w:vAlign w:val="center"/>
          </w:tcPr>
          <w:p w:rsidR="00436AFF" w:rsidRPr="00712E2F" w:rsidP="00436AFF">
            <w:pPr>
              <w:snapToGrid w:val="0"/>
              <w:jc w:val="center"/>
              <w:rPr>
                <w:rFonts w:ascii="宋体" w:hAnsi="宋体"/>
                <w:szCs w:val="21"/>
                <w:shd w:val="clear" w:color="auto" w:fill="FFFFFF"/>
              </w:rPr>
            </w:pPr>
            <w:r>
              <w:rPr>
                <w:rFonts w:ascii="宋体" w:eastAsia="宋体" w:hAnsi="宋体" w:cs="宋体"/>
                <w:b w:val="0"/>
                <w:i w:val="0"/>
                <w:color w:val="000000"/>
                <w:position w:val="-1"/>
                <w:u w:val="none"/>
              </w:rPr>
              <w:t>2.35%</w:t>
            </w:r>
          </w:p>
        </w:tc>
        <w:tc>
          <w:tcPr>
            <w:tcW w:w="851" w:type="dxa"/>
            <w:tcBorders>
              <w:top w:val="single" w:sz="4" w:space="0" w:color="auto"/>
              <w:left w:val="single" w:sz="4" w:space="0" w:color="auto"/>
              <w:bottom w:val="single" w:sz="4" w:space="0" w:color="auto"/>
              <w:right w:val="single" w:sz="4" w:space="0" w:color="auto"/>
            </w:tcBorders>
            <w:vAlign w:val="center"/>
          </w:tcPr>
          <w:p w:rsidR="00436AFF" w:rsidRPr="00712E2F" w:rsidP="00436AFF">
            <w:pPr>
              <w:snapToGrid w:val="0"/>
              <w:jc w:val="center"/>
              <w:rPr>
                <w:rFonts w:ascii="宋体" w:hAnsi="宋体"/>
                <w:szCs w:val="21"/>
                <w:shd w:val="clear" w:color="auto" w:fill="FFFFFF"/>
              </w:rPr>
            </w:pPr>
            <w:r>
              <w:rPr>
                <w:rFonts w:ascii="宋体" w:eastAsia="宋体" w:hAnsi="宋体" w:cs="宋体"/>
                <w:b w:val="0"/>
                <w:i w:val="0"/>
                <w:color w:val="000000"/>
                <w:position w:val="-1"/>
                <w:u w:val="none"/>
              </w:rPr>
              <w:t>2.62%</w:t>
            </w:r>
          </w:p>
        </w:tc>
        <w:tc>
          <w:tcPr>
            <w:tcW w:w="992" w:type="dxa"/>
            <w:tcBorders>
              <w:top w:val="single" w:sz="4" w:space="0" w:color="auto"/>
              <w:left w:val="single" w:sz="4" w:space="0" w:color="auto"/>
              <w:bottom w:val="single" w:sz="4" w:space="0" w:color="auto"/>
              <w:right w:val="single" w:sz="4" w:space="0" w:color="auto"/>
            </w:tcBorders>
            <w:vAlign w:val="center"/>
          </w:tcPr>
          <w:p w:rsidR="00436AFF" w:rsidRPr="00712E2F" w:rsidP="00436AFF">
            <w:pPr>
              <w:snapToGrid w:val="0"/>
              <w:jc w:val="center"/>
              <w:rPr>
                <w:rFonts w:ascii="宋体" w:hAnsi="宋体"/>
                <w:szCs w:val="21"/>
                <w:shd w:val="clear" w:color="auto" w:fill="FFFFFF"/>
              </w:rPr>
            </w:pPr>
            <w:r>
              <w:rPr>
                <w:rFonts w:ascii="宋体" w:eastAsia="宋体" w:hAnsi="宋体" w:cs="宋体"/>
                <w:b w:val="0"/>
                <w:i w:val="0"/>
                <w:color w:val="000000"/>
                <w:position w:val="-1"/>
                <w:u w:val="none"/>
              </w:rPr>
              <w:t>2.38%</w:t>
            </w:r>
          </w:p>
        </w:tc>
        <w:tc>
          <w:tcPr>
            <w:tcW w:w="992" w:type="dxa"/>
            <w:tcBorders>
              <w:top w:val="single" w:sz="4" w:space="0" w:color="auto"/>
              <w:left w:val="single" w:sz="4" w:space="0" w:color="auto"/>
              <w:bottom w:val="single" w:sz="4" w:space="0" w:color="auto"/>
              <w:right w:val="single" w:sz="4" w:space="0" w:color="auto"/>
            </w:tcBorders>
            <w:vAlign w:val="center"/>
          </w:tcPr>
          <w:p w:rsidR="00436AFF" w:rsidRPr="00712E2F" w:rsidP="00436AFF">
            <w:pPr>
              <w:snapToGrid w:val="0"/>
              <w:jc w:val="center"/>
              <w:rPr>
                <w:rFonts w:ascii="宋体" w:hAnsi="宋体"/>
                <w:szCs w:val="21"/>
                <w:shd w:val="clear" w:color="auto" w:fill="FFFFFF"/>
              </w:rPr>
            </w:pPr>
            <w:r>
              <w:rPr>
                <w:rFonts w:ascii="宋体" w:eastAsia="宋体" w:hAnsi="宋体" w:cs="宋体"/>
                <w:b w:val="0"/>
                <w:i w:val="0"/>
                <w:color w:val="000000"/>
                <w:position w:val="-1"/>
                <w:u w:val="none"/>
              </w:rPr>
              <w:t>--</w:t>
            </w:r>
          </w:p>
        </w:tc>
        <w:tc>
          <w:tcPr>
            <w:tcW w:w="992" w:type="dxa"/>
            <w:tcBorders>
              <w:top w:val="single" w:sz="4" w:space="0" w:color="auto"/>
              <w:left w:val="single" w:sz="4" w:space="0" w:color="auto"/>
              <w:bottom w:val="single" w:sz="4" w:space="0" w:color="auto"/>
              <w:right w:val="single" w:sz="4" w:space="0" w:color="auto"/>
            </w:tcBorders>
            <w:vAlign w:val="center"/>
          </w:tcPr>
          <w:p w:rsidR="00436AFF" w:rsidRPr="00712E2F" w:rsidP="00436AFF">
            <w:pPr>
              <w:snapToGrid w:val="0"/>
              <w:jc w:val="center"/>
              <w:rPr>
                <w:rFonts w:ascii="宋体" w:hAnsi="宋体"/>
                <w:szCs w:val="21"/>
                <w:shd w:val="clear" w:color="auto" w:fill="FFFFFF"/>
              </w:rPr>
            </w:pPr>
            <w:r>
              <w:rPr>
                <w:rFonts w:ascii="宋体" w:eastAsia="宋体" w:hAnsi="宋体" w:cs="宋体"/>
                <w:b w:val="0"/>
                <w:i w:val="0"/>
                <w:color w:val="000000"/>
                <w:position w:val="-1"/>
                <w:u w:val="none"/>
              </w:rPr>
              <w:t>--</w:t>
            </w:r>
          </w:p>
        </w:tc>
        <w:tc>
          <w:tcPr>
            <w:tcW w:w="1134" w:type="dxa"/>
            <w:tcBorders>
              <w:top w:val="single" w:sz="4" w:space="0" w:color="auto"/>
              <w:left w:val="single" w:sz="4" w:space="0" w:color="auto"/>
              <w:bottom w:val="single" w:sz="4" w:space="0" w:color="auto"/>
              <w:right w:val="single" w:sz="4" w:space="0" w:color="auto"/>
            </w:tcBorders>
            <w:vAlign w:val="center"/>
          </w:tcPr>
          <w:p w:rsidR="00436AFF" w:rsidRPr="00712E2F" w:rsidP="00436AFF">
            <w:pPr>
              <w:snapToGrid w:val="0"/>
              <w:jc w:val="center"/>
              <w:rPr>
                <w:rFonts w:ascii="宋体" w:hAnsi="宋体"/>
                <w:szCs w:val="21"/>
                <w:shd w:val="clear" w:color="auto" w:fill="FFFFFF"/>
              </w:rPr>
            </w:pPr>
            <w:r>
              <w:rPr>
                <w:rFonts w:ascii="宋体" w:eastAsia="宋体" w:hAnsi="宋体" w:cs="宋体"/>
                <w:b w:val="0"/>
                <w:i w:val="0"/>
                <w:color w:val="000000"/>
                <w:position w:val="-1"/>
                <w:u w:val="none"/>
              </w:rPr>
              <w:t>2.64%</w:t>
            </w:r>
          </w:p>
        </w:tc>
      </w:tr>
    </w:tbl>
    <w:p w:rsidR="00436AFF" w:rsidP="00436AFF">
      <w:r>
        <w:rPr>
          <w:rFonts w:hint="eastAsia"/>
        </w:rPr>
        <w:t>注：</w:t>
      </w:r>
    </w:p>
    <w:p w:rsidR="00436AFF" w:rsidP="00436AFF">
      <w:pPr>
        <w:rPr>
          <w:rFonts w:ascii="宋体" w:hAnsi="宋体" w:cs="宋体"/>
        </w:rPr>
      </w:pPr>
      <w:r>
        <w:rPr>
          <w:rFonts w:ascii="宋体" w:hAnsi="宋体" w:cs="宋体" w:hint="eastAsia"/>
        </w:rPr>
        <w:t>1.本理财产品成立于</w:t>
      </w:r>
      <w:r>
        <w:rPr>
          <w:rFonts w:ascii="宋体" w:eastAsia="宋体" w:hAnsi="宋体" w:cs="宋体"/>
          <w:b w:val="0"/>
          <w:i w:val="0"/>
          <w:color w:val="000000"/>
          <w:position w:val="-1"/>
          <w:u w:val="none"/>
        </w:rPr>
        <w:t>2021年09月23日</w:t>
      </w:r>
      <w:r>
        <w:rPr>
          <w:rFonts w:ascii="宋体" w:hAnsi="宋体" w:cs="宋体" w:hint="eastAsia"/>
        </w:rPr>
        <w:t>，数据截至</w:t>
      </w:r>
      <w:r>
        <w:rPr>
          <w:rFonts w:ascii="宋体" w:eastAsia="宋体" w:hAnsi="宋体" w:cs="宋体"/>
          <w:b w:val="0"/>
          <w:i w:val="0"/>
          <w:color w:val="000000"/>
          <w:position w:val="-1"/>
          <w:u w:val="none"/>
        </w:rPr>
        <w:t>2024年12月31日</w:t>
      </w:r>
      <w:r>
        <w:rPr>
          <w:rFonts w:ascii="宋体" w:hAnsi="宋体" w:cs="宋体" w:hint="eastAsia"/>
        </w:rPr>
        <w:t>。本理财产品过往业绩由管理人招银理财有限责任公司基于理财产品净值，参照有关法律法规及理财行业通行规则制定的计算规则计算，过往业绩相关净值数据已经理财产品托管人复核。</w:t>
      </w:r>
      <w:r>
        <w:rPr>
          <w:rFonts w:ascii="宋体" w:hAnsi="宋体" w:cs="宋体" w:hint="eastAsia"/>
          <w:b/>
          <w:bCs/>
        </w:rPr>
        <w:t>理财产品过往业绩不代表其未来表现，不等于理财产品实际收益，投资须谨慎。</w:t>
      </w:r>
    </w:p>
    <w:p w:rsidR="006F79C0" w:rsidP="006F79C0">
      <w:pPr>
        <w:rPr>
          <w:rFonts w:ascii="宋体" w:hAnsi="宋体" w:cs="宋体"/>
          <w:szCs w:val="21"/>
          <w:shd w:val="clear" w:color="auto" w:fill="FFFFFF"/>
        </w:rPr>
      </w:pPr>
      <w:r>
        <w:rPr>
          <w:rFonts w:ascii="宋体" w:hAnsi="宋体" w:cs="宋体" w:hint="eastAsia"/>
          <w:szCs w:val="21"/>
          <w:shd w:val="clear" w:color="auto" w:fill="FFFFFF"/>
        </w:rPr>
        <w:t>2.如为报净值的产品，则年化收益率指该产品对应区间内的区间年化收益率，赎回成本未计入，并非最终持有到期的收益率。</w:t>
      </w:r>
    </w:p>
    <w:p w:rsidR="006F79C0" w:rsidP="006F79C0">
      <w:pPr>
        <w:rPr>
          <w:rFonts w:ascii="宋体" w:hAnsi="宋体" w:cs="宋体"/>
          <w:szCs w:val="21"/>
          <w:shd w:val="clear" w:color="auto" w:fill="FFFFFF"/>
        </w:rPr>
      </w:pPr>
      <w:r>
        <w:rPr>
          <w:rFonts w:ascii="宋体" w:hAnsi="宋体" w:cs="宋体" w:hint="eastAsia"/>
          <w:szCs w:val="21"/>
          <w:shd w:val="clear" w:color="auto" w:fill="FFFFFF"/>
        </w:rPr>
        <w:t>近N个月年化收益率（非现金产品）</w:t>
      </w:r>
    </w:p>
    <w:p w:rsidR="006F79C0" w:rsidP="006F79C0">
      <w:pPr>
        <w:rPr>
          <w:rFonts w:hAnsi="Cambria Math"/>
          <w:sz w:val="24"/>
        </w:rPr>
      </w:pPr>
      <w:r>
        <w:rPr>
          <w:rFonts w:ascii="宋体" w:hint="eastAsia"/>
          <w:sz w:val="24"/>
        </w:rPr>
        <w:t>=</w:t>
      </w:r>
      <m:oMath>
        <m:f>
          <m:fPr>
            <m:ctrlPr>
              <w:rPr>
                <w:rFonts w:ascii="Cambria Math" w:hAnsi="Cambria Math" w:hint="eastAsia"/>
                <w:sz w:val="24"/>
              </w:rPr>
            </m:ctrlPr>
          </m:fPr>
          <m:num>
            <m:sSub>
              <m:sSubPr>
                <m:ctrlPr>
                  <w:rPr>
                    <w:rFonts w:ascii="Cambria Math" w:hAnsi="Cambria Math"/>
                    <w:sz w:val="24"/>
                  </w:rPr>
                </m:ctrlPr>
              </m:sSubPr>
              <m:e>
                <m:r>
                  <m:rPr>
                    <m:sty m:val="p"/>
                  </m:rPr>
                  <w:rPr>
                    <w:rFonts w:ascii="Cambria Math" w:hAnsi="Cambria Math" w:hint="eastAsia"/>
                    <w:sz w:val="24"/>
                  </w:rPr>
                  <m:t>最新的产品累计单位净值</m:t>
                </m:r>
              </m:e>
              <m:sub>
                <m:r>
                  <m:rPr>
                    <m:sty m:val="p"/>
                  </m:rPr>
                  <w:rPr>
                    <w:rFonts w:ascii="Cambria Math" w:hAnsi="Cambria Math"/>
                    <w:sz w:val="24"/>
                  </w:rPr>
                  <m:t>t1</m:t>
                </m:r>
              </m:sub>
            </m:sSub>
            <m:r>
              <m:rPr>
                <m:sty m:val="p"/>
              </m:rPr>
              <w:rPr>
                <w:rFonts w:ascii="Cambria Math" w:hAnsi="Cambria Math"/>
                <w:sz w:val="24"/>
              </w:rPr>
              <m:t>-</m:t>
            </m:r>
            <m:sSub>
              <m:sSubPr>
                <m:ctrlPr>
                  <w:rPr>
                    <w:rFonts w:ascii="Cambria Math" w:hAnsi="Cambria Math"/>
                    <w:sz w:val="24"/>
                  </w:rPr>
                </m:ctrlPr>
              </m:sSubPr>
              <m:e>
                <m:r>
                  <m:rPr>
                    <m:sty m:val="p"/>
                  </m:rPr>
                  <w:rPr>
                    <w:rFonts w:ascii="Cambria Math" w:hAnsi="Cambria Math"/>
                    <w:sz w:val="24"/>
                  </w:rPr>
                  <m:t>N</m:t>
                </m:r>
                <m:r>
                  <m:rPr>
                    <m:sty m:val="p"/>
                  </m:rPr>
                  <w:rPr>
                    <w:rFonts w:ascii="Cambria Math" w:hAnsi="Cambria Math" w:hint="eastAsia"/>
                    <w:sz w:val="24"/>
                  </w:rPr>
                  <m:t>月前对日的产品累计单位净值</m:t>
                </m:r>
              </m:e>
              <m:sub>
                <m:r>
                  <m:rPr>
                    <m:sty m:val="p"/>
                  </m:rPr>
                  <w:rPr>
                    <w:rFonts w:ascii="Cambria Math" w:hAnsi="Cambria Math"/>
                    <w:sz w:val="24"/>
                  </w:rPr>
                  <m:t>t2</m:t>
                </m:r>
              </m:sub>
            </m:sSub>
          </m:num>
          <m:den>
            <m:sSub>
              <m:sSubPr>
                <m:ctrlPr>
                  <w:rPr>
                    <w:rFonts w:ascii="Cambria Math" w:hAnsi="Cambria Math"/>
                    <w:sz w:val="24"/>
                  </w:rPr>
                </m:ctrlPr>
              </m:sSubPr>
              <m:e>
                <m:r>
                  <m:rPr>
                    <m:sty m:val="p"/>
                  </m:rPr>
                  <w:rPr>
                    <w:rFonts w:ascii="Cambria Math" w:hAnsi="Cambria Math"/>
                    <w:sz w:val="24"/>
                  </w:rPr>
                  <m:t>N</m:t>
                </m:r>
                <m:r>
                  <m:rPr>
                    <m:sty m:val="p"/>
                  </m:rPr>
                  <w:rPr>
                    <w:rFonts w:ascii="Cambria Math" w:hAnsi="Cambria Math" w:hint="eastAsia"/>
                    <w:sz w:val="24"/>
                  </w:rPr>
                  <m:t>月前对日的产品单位净值</m:t>
                </m:r>
              </m:e>
              <m:sub>
                <m:r>
                  <m:rPr>
                    <m:sty m:val="p"/>
                  </m:rPr>
                  <w:rPr>
                    <w:rFonts w:ascii="Cambria Math" w:hAnsi="Cambria Math"/>
                    <w:sz w:val="24"/>
                  </w:rPr>
                  <m:t>t2</m:t>
                </m:r>
              </m:sub>
            </m:sSub>
          </m:den>
        </m:f>
        <m:r>
          <m:rPr>
            <m:sty m:val="p"/>
          </m:rPr>
          <w:rPr>
            <w:rFonts w:ascii="Cambria Math" w:hAnsi="Cambria Math" w:cs="Cambria"/>
            <w:sz w:val="24"/>
          </w:rPr>
          <m:t>*</m:t>
        </m:r>
        <m:f>
          <m:fPr>
            <m:ctrlPr>
              <w:rPr>
                <w:rFonts w:ascii="Cambria Math" w:hAnsi="Cambria Math" w:hint="eastAsia"/>
                <w:sz w:val="24"/>
              </w:rPr>
            </m:ctrlPr>
          </m:fPr>
          <m:num>
            <m:r>
              <m:rPr>
                <m:sty m:val="p"/>
              </m:rPr>
              <w:rPr>
                <w:rFonts w:ascii="Cambria Math" w:hAnsi="Cambria Math" w:hint="eastAsia"/>
                <w:sz w:val="24"/>
              </w:rPr>
              <m:t>365</m:t>
            </m:r>
          </m:num>
          <m:den>
            <m:r>
              <m:rPr>
                <m:sty m:val="p"/>
              </m:rPr>
              <w:rPr>
                <w:rFonts w:ascii="Cambria Math" w:hAnsi="Cambria Math"/>
                <w:sz w:val="24"/>
              </w:rPr>
              <m:t>t1-t2</m:t>
            </m:r>
          </m:den>
        </m:f>
        <m:r>
          <m:rPr>
            <m:sty m:val="p"/>
          </m:rPr>
          <w:rPr>
            <w:rFonts w:ascii="Cambria Math" w:hAnsi="Cambria Math" w:cs="Cambria"/>
            <w:sz w:val="24"/>
          </w:rPr>
          <m:t>*</m:t>
        </m:r>
        <m:r>
          <m:rPr>
            <m:sty m:val="p"/>
          </m:rPr>
          <w:rPr>
            <w:rFonts w:ascii="Cambria Math" w:hAnsi="Cambria Math" w:hint="eastAsia"/>
            <w:sz w:val="24"/>
          </w:rPr>
          <m:t>100%</m:t>
        </m:r>
      </m:oMath>
    </w:p>
    <w:p w:rsidR="006F79C0" w:rsidP="006F79C0">
      <w:pPr>
        <w:rPr>
          <w:rFonts w:hAnsi="Cambria Math"/>
          <w:sz w:val="24"/>
        </w:rPr>
      </w:pPr>
      <w:r>
        <w:rPr>
          <w:rFonts w:ascii="宋体" w:hAnsi="宋体" w:cs="宋体" w:hint="eastAsia"/>
          <w:szCs w:val="21"/>
          <w:shd w:val="clear" w:color="auto" w:fill="FFFFFF"/>
        </w:rPr>
        <w:t>t1为区间最后一个自然日，t2为N月前的最后一个自然日。</w:t>
      </w:r>
    </w:p>
    <w:p w:rsidR="006F79C0" w:rsidP="006F79C0">
      <w:pPr>
        <w:pStyle w:val="ccb"/>
        <w:ind w:firstLine="0" w:firstLineChars="0"/>
        <w:jc w:val="left"/>
        <w:rPr>
          <w:rFonts w:ascii="宋体" w:eastAsia="宋体"/>
          <w:color w:val="auto"/>
          <w:sz w:val="21"/>
          <w:szCs w:val="21"/>
          <w:shd w:val="clear" w:color="auto" w:fill="FFFFFF"/>
        </w:rPr>
      </w:pPr>
      <w:r>
        <w:rPr>
          <w:rFonts w:ascii="宋体" w:eastAsia="宋体" w:hint="eastAsia"/>
          <w:color w:val="auto"/>
          <w:sz w:val="21"/>
          <w:szCs w:val="21"/>
          <w:shd w:val="clear" w:color="auto" w:fill="FFFFFF"/>
        </w:rPr>
        <w:t>近N个会计年度年化收益率（非现金产品）</w:t>
      </w:r>
    </w:p>
    <w:p w:rsidR="006F79C0" w:rsidP="006F79C0">
      <w:pPr>
        <w:rPr>
          <w:sz w:val="24"/>
          <w:szCs w:val="24"/>
        </w:rPr>
      </w:pPr>
      <w:r>
        <w:rPr>
          <w:rFonts w:ascii="宋体" w:hint="eastAsia"/>
        </w:rPr>
        <w:t>=</w:t>
      </w:r>
      <m:oMath>
        <m:f>
          <m:fPr>
            <m:ctrlPr>
              <w:rPr>
                <w:rFonts w:ascii="Cambria Math" w:hAnsi="Cambria Math" w:hint="eastAsia"/>
                <w:sz w:val="24"/>
                <w:szCs w:val="24"/>
              </w:rPr>
            </m:ctrlPr>
          </m:fPr>
          <m:num>
            <m:sSub>
              <m:sSubPr>
                <m:ctrlPr>
                  <w:rPr>
                    <w:rFonts w:ascii="Cambria Math" w:hAnsi="Cambria Math"/>
                    <w:sz w:val="24"/>
                    <w:szCs w:val="24"/>
                  </w:rPr>
                </m:ctrlPr>
              </m:sSubPr>
              <m:e>
                <m:r>
                  <m:rPr>
                    <m:sty m:val="p"/>
                  </m:rPr>
                  <w:rPr>
                    <w:rFonts w:ascii="Cambria Math" w:hAnsi="Cambria Math"/>
                    <w:sz w:val="24"/>
                    <w:szCs w:val="24"/>
                  </w:rPr>
                  <m:t>XX</m:t>
                </m:r>
                <m:r>
                  <m:rPr>
                    <m:sty m:val="p"/>
                  </m:rPr>
                  <w:rPr>
                    <w:rFonts w:ascii="Cambria Math" w:hAnsi="Cambria Math" w:hint="eastAsia"/>
                    <w:sz w:val="24"/>
                    <w:szCs w:val="24"/>
                  </w:rPr>
                  <m:t>年</m:t>
                </m:r>
                <m:r>
                  <m:rPr>
                    <m:sty m:val="p"/>
                  </m:rPr>
                  <w:rPr>
                    <w:rFonts w:ascii="Cambria Math" w:hAnsi="Cambria Math"/>
                    <w:sz w:val="24"/>
                    <w:szCs w:val="24"/>
                  </w:rPr>
                  <m:t>12</m:t>
                </m:r>
                <m:r>
                  <m:rPr>
                    <m:sty m:val="p"/>
                  </m:rPr>
                  <w:rPr>
                    <w:rFonts w:ascii="Cambria Math" w:hAnsi="Cambria Math" w:hint="eastAsia"/>
                    <w:sz w:val="24"/>
                    <w:szCs w:val="24"/>
                  </w:rPr>
                  <m:t>月</m:t>
                </m:r>
                <m:r>
                  <m:rPr>
                    <m:sty m:val="p"/>
                  </m:rPr>
                  <w:rPr>
                    <w:rFonts w:ascii="Cambria Math" w:hAnsi="Cambria Math"/>
                    <w:sz w:val="24"/>
                    <w:szCs w:val="24"/>
                  </w:rPr>
                  <m:t>31</m:t>
                </m:r>
                <m:r>
                  <m:rPr>
                    <m:sty m:val="p"/>
                  </m:rPr>
                  <w:rPr>
                    <w:rFonts w:ascii="Cambria Math" w:hAnsi="Cambria Math" w:hint="eastAsia"/>
                    <w:sz w:val="24"/>
                    <w:szCs w:val="24"/>
                  </w:rPr>
                  <m:t>日产品累计单位净值</m:t>
                </m:r>
              </m:e>
              <m:sub>
                <m:r>
                  <m:rPr>
                    <m:sty m:val="p"/>
                  </m:rPr>
                  <w:rPr>
                    <w:rFonts w:ascii="Cambria Math" w:hAnsi="Cambria Math"/>
                    <w:sz w:val="24"/>
                    <w:szCs w:val="24"/>
                  </w:rPr>
                  <m:t>t1</m:t>
                </m:r>
              </m:sub>
            </m:sSub>
            <m:r>
              <m:rPr>
                <m:sty m:val="p"/>
              </m:rPr>
              <w:rPr>
                <w:rFonts w:ascii="Cambria Math" w:hAnsi="Cambria Math"/>
                <w:sz w:val="24"/>
                <w:szCs w:val="24"/>
              </w:rPr>
              <m:t>-</m:t>
            </m:r>
            <m:sSub>
              <m:sSubPr>
                <m:ctrlPr>
                  <w:rPr>
                    <w:rFonts w:ascii="Cambria Math" w:hAnsi="Cambria Math"/>
                    <w:sz w:val="24"/>
                    <w:szCs w:val="24"/>
                  </w:rPr>
                </m:ctrlPr>
              </m:sSubPr>
              <m:e>
                <m:r>
                  <m:rPr>
                    <m:sty m:val="p"/>
                  </m:rPr>
                  <w:rPr>
                    <w:rFonts w:ascii="Cambria Math" w:hAnsi="Cambria Math"/>
                    <w:sz w:val="24"/>
                    <w:szCs w:val="24"/>
                  </w:rPr>
                  <m:t>XX</m:t>
                </m:r>
                <m:r>
                  <m:rPr>
                    <m:sty m:val="p"/>
                  </m:rPr>
                  <w:rPr>
                    <w:rFonts w:ascii="Cambria Math" w:hAnsi="Cambria Math" w:hint="eastAsia"/>
                    <w:sz w:val="24"/>
                    <w:szCs w:val="24"/>
                  </w:rPr>
                  <m:t>年</m:t>
                </m:r>
                <m:r>
                  <m:rPr>
                    <m:sty m:val="p"/>
                  </m:rPr>
                  <w:rPr>
                    <w:rFonts w:ascii="Cambria Math" w:hAnsi="Cambria Math"/>
                    <w:sz w:val="24"/>
                    <w:szCs w:val="24"/>
                  </w:rPr>
                  <m:t>1</m:t>
                </m:r>
                <m:r>
                  <m:rPr>
                    <m:sty m:val="p"/>
                  </m:rPr>
                  <w:rPr>
                    <w:rFonts w:ascii="Cambria Math" w:hAnsi="Cambria Math" w:hint="eastAsia"/>
                    <w:sz w:val="24"/>
                    <w:szCs w:val="24"/>
                  </w:rPr>
                  <m:t>月</m:t>
                </m:r>
                <m:r>
                  <m:rPr>
                    <m:sty m:val="p"/>
                  </m:rPr>
                  <w:rPr>
                    <w:rFonts w:ascii="Cambria Math" w:hAnsi="Cambria Math"/>
                    <w:sz w:val="24"/>
                    <w:szCs w:val="24"/>
                  </w:rPr>
                  <m:t>1</m:t>
                </m:r>
                <m:r>
                  <m:rPr>
                    <m:sty m:val="p"/>
                  </m:rPr>
                  <w:rPr>
                    <w:rFonts w:ascii="Cambria Math" w:hAnsi="Cambria Math" w:hint="eastAsia"/>
                    <w:sz w:val="24"/>
                    <w:szCs w:val="24"/>
                  </w:rPr>
                  <m:t>日产品累计单位净值</m:t>
                </m:r>
              </m:e>
              <m:sub>
                <m:r>
                  <m:rPr>
                    <m:sty m:val="p"/>
                  </m:rPr>
                  <w:rPr>
                    <w:rFonts w:ascii="Cambria Math" w:hAnsi="Cambria Math"/>
                    <w:sz w:val="24"/>
                    <w:szCs w:val="24"/>
                  </w:rPr>
                  <m:t>t2</m:t>
                </m:r>
              </m:sub>
            </m:sSub>
          </m:num>
          <m:den>
            <m:sSub>
              <m:sSubPr>
                <m:ctrlPr>
                  <w:rPr>
                    <w:rFonts w:ascii="Cambria Math" w:hAnsi="Cambria Math"/>
                    <w:sz w:val="24"/>
                    <w:szCs w:val="24"/>
                  </w:rPr>
                </m:ctrlPr>
              </m:sSubPr>
              <m:e>
                <m:r>
                  <m:rPr>
                    <m:sty m:val="p"/>
                  </m:rPr>
                  <w:rPr>
                    <w:rFonts w:ascii="Cambria Math" w:hAnsi="Cambria Math"/>
                    <w:sz w:val="24"/>
                    <w:szCs w:val="24"/>
                  </w:rPr>
                  <m:t>XX</m:t>
                </m:r>
                <m:r>
                  <m:rPr>
                    <m:sty m:val="p"/>
                  </m:rPr>
                  <w:rPr>
                    <w:rFonts w:ascii="Cambria Math" w:hAnsi="Cambria Math" w:hint="eastAsia"/>
                    <w:sz w:val="24"/>
                    <w:szCs w:val="24"/>
                  </w:rPr>
                  <m:t>年</m:t>
                </m:r>
                <m:r>
                  <m:rPr>
                    <m:sty m:val="p"/>
                  </m:rPr>
                  <w:rPr>
                    <w:rFonts w:ascii="Cambria Math" w:hAnsi="Cambria Math"/>
                    <w:sz w:val="24"/>
                    <w:szCs w:val="24"/>
                  </w:rPr>
                  <m:t>1</m:t>
                </m:r>
                <m:r>
                  <m:rPr>
                    <m:sty m:val="p"/>
                  </m:rPr>
                  <w:rPr>
                    <w:rFonts w:ascii="Cambria Math" w:hAnsi="Cambria Math" w:hint="eastAsia"/>
                    <w:sz w:val="24"/>
                    <w:szCs w:val="24"/>
                  </w:rPr>
                  <m:t>月</m:t>
                </m:r>
                <m:r>
                  <m:rPr>
                    <m:sty m:val="p"/>
                  </m:rPr>
                  <w:rPr>
                    <w:rFonts w:ascii="Cambria Math" w:hAnsi="Cambria Math"/>
                    <w:sz w:val="24"/>
                    <w:szCs w:val="24"/>
                  </w:rPr>
                  <m:t>1</m:t>
                </m:r>
                <m:r>
                  <m:rPr>
                    <m:sty m:val="p"/>
                  </m:rPr>
                  <w:rPr>
                    <w:rFonts w:ascii="Cambria Math" w:hAnsi="Cambria Math" w:hint="eastAsia"/>
                    <w:sz w:val="24"/>
                    <w:szCs w:val="24"/>
                  </w:rPr>
                  <m:t>日产品单位净值</m:t>
                </m:r>
              </m:e>
              <m:sub>
                <m:r>
                  <m:rPr>
                    <m:sty m:val="p"/>
                  </m:rPr>
                  <w:rPr>
                    <w:rFonts w:ascii="Cambria Math" w:hAnsi="Cambria Math"/>
                    <w:sz w:val="24"/>
                    <w:szCs w:val="24"/>
                  </w:rPr>
                  <m:t>t2</m:t>
                </m:r>
              </m:sub>
            </m:sSub>
          </m:den>
        </m:f>
        <m:r>
          <m:rPr>
            <m:sty m:val="p"/>
          </m:rPr>
          <w:rPr>
            <w:rFonts w:ascii="Cambria Math" w:hAnsi="Cambria Math" w:cs="Cambria"/>
            <w:sz w:val="24"/>
            <w:szCs w:val="24"/>
          </w:rPr>
          <m:t>*</m:t>
        </m:r>
        <m:f>
          <m:fPr>
            <m:ctrlPr>
              <w:rPr>
                <w:rFonts w:ascii="Cambria Math" w:hAnsi="Cambria Math" w:hint="eastAsia"/>
                <w:sz w:val="24"/>
                <w:szCs w:val="24"/>
              </w:rPr>
            </m:ctrlPr>
          </m:fPr>
          <m:num>
            <m:r>
              <m:rPr>
                <m:sty m:val="p"/>
              </m:rPr>
              <w:rPr>
                <w:rFonts w:ascii="Cambria Math" w:hAnsi="Cambria Math" w:hint="eastAsia"/>
                <w:sz w:val="24"/>
                <w:szCs w:val="24"/>
              </w:rPr>
              <m:t>365</m:t>
            </m:r>
          </m:num>
          <m:den>
            <m:r>
              <m:rPr>
                <m:sty m:val="p"/>
              </m:rPr>
              <w:rPr>
                <w:rFonts w:ascii="Cambria Math" w:hAnsi="Cambria Math"/>
                <w:sz w:val="24"/>
                <w:szCs w:val="24"/>
              </w:rPr>
              <m:t>N</m:t>
            </m:r>
          </m:den>
        </m:f>
        <m:r>
          <m:rPr>
            <m:sty m:val="p"/>
          </m:rPr>
          <w:rPr>
            <w:rFonts w:ascii="Cambria Math" w:hAnsi="Cambria Math" w:cs="Cambria"/>
            <w:sz w:val="24"/>
            <w:szCs w:val="24"/>
          </w:rPr>
          <m:t>*</m:t>
        </m:r>
        <m:r>
          <m:rPr>
            <m:sty m:val="p"/>
          </m:rPr>
          <w:rPr>
            <w:rFonts w:ascii="Cambria Math" w:hAnsi="Cambria Math" w:hint="eastAsia"/>
            <w:sz w:val="24"/>
            <w:szCs w:val="24"/>
          </w:rPr>
          <m:t>100%</m:t>
        </m:r>
      </m:oMath>
    </w:p>
    <w:p w:rsidR="006F79C0" w:rsidP="006F79C0">
      <w:pPr>
        <w:rPr>
          <w:rFonts w:ascii="宋体" w:hAnsi="宋体" w:cs="宋体"/>
          <w:szCs w:val="21"/>
          <w:shd w:val="clear" w:color="auto" w:fill="FFFFFF"/>
        </w:rPr>
      </w:pPr>
      <w:r>
        <w:rPr>
          <w:rFonts w:ascii="宋体" w:hAnsi="宋体" w:cs="宋体" w:hint="eastAsia"/>
          <w:szCs w:val="21"/>
          <w:shd w:val="clear" w:color="auto" w:fill="FFFFFF"/>
        </w:rPr>
        <w:t>t1为XX年12月31日，t2为XX年1月1日，N为XX年1月1日到XX年12月31日的自然天数。</w:t>
      </w:r>
    </w:p>
    <w:p w:rsidR="006F79C0" w:rsidP="006F79C0">
      <w:pPr>
        <w:pStyle w:val="ccb"/>
        <w:ind w:firstLine="0" w:firstLineChars="0"/>
        <w:jc w:val="left"/>
        <w:rPr>
          <w:rFonts w:ascii="宋体" w:eastAsia="宋体"/>
          <w:color w:val="auto"/>
          <w:sz w:val="21"/>
          <w:szCs w:val="21"/>
          <w:shd w:val="clear" w:color="auto" w:fill="FFFFFF"/>
        </w:rPr>
      </w:pPr>
      <w:r>
        <w:rPr>
          <w:rFonts w:ascii="宋体" w:eastAsia="宋体" w:hint="eastAsia"/>
          <w:color w:val="auto"/>
          <w:sz w:val="21"/>
          <w:szCs w:val="21"/>
          <w:shd w:val="clear" w:color="auto" w:fill="FFFFFF"/>
        </w:rPr>
        <w:t>成立至今年化收益率（非现金产品）</w:t>
      </w:r>
    </w:p>
    <w:p w:rsidR="006F79C0" w:rsidP="006F79C0">
      <w:pPr>
        <w:tabs>
          <w:tab w:val="left" w:pos="1260"/>
        </w:tabs>
        <w:spacing w:line="360" w:lineRule="auto"/>
        <w:rPr>
          <w:rFonts w:hAnsi="Cambria Math"/>
          <w:sz w:val="24"/>
        </w:rPr>
      </w:pPr>
      <w:r>
        <w:rPr>
          <w:rFonts w:ascii="宋体" w:hAnsi="宋体" w:hint="eastAsia"/>
          <w:sz w:val="24"/>
        </w:rPr>
        <w:t>=</w:t>
      </w:r>
      <m:oMath>
        <m:f>
          <m:fPr>
            <m:ctrlPr>
              <w:rPr>
                <w:rFonts w:ascii="Cambria Math" w:hAnsi="Cambria Math" w:hint="eastAsia"/>
                <w:sz w:val="24"/>
              </w:rPr>
            </m:ctrlPr>
          </m:fPr>
          <m:num>
            <m:sSub>
              <m:sSubPr>
                <m:ctrlPr>
                  <w:rPr>
                    <w:rFonts w:ascii="Cambria Math" w:hAnsi="Cambria Math" w:hint="eastAsia"/>
                    <w:sz w:val="24"/>
                  </w:rPr>
                </m:ctrlPr>
              </m:sSubPr>
              <m:e>
                <m:r>
                  <m:rPr>
                    <m:sty m:val="p"/>
                  </m:rPr>
                  <w:rPr>
                    <w:rFonts w:ascii="Cambria Math" w:hAnsi="Cambria Math" w:hint="eastAsia"/>
                    <w:sz w:val="24"/>
                  </w:rPr>
                  <m:t>最新的产品累计单位净值</m:t>
                </m:r>
              </m:e>
              <m:sub>
                <m:r>
                  <m:rPr>
                    <m:sty m:val="p"/>
                  </m:rPr>
                  <w:rPr>
                    <w:rFonts w:ascii="Cambria Math" w:hAnsi="Cambria Math"/>
                    <w:sz w:val="24"/>
                  </w:rPr>
                  <m:t>t</m:t>
                </m:r>
              </m:sub>
            </m:sSub>
            <m:r>
              <m:rPr>
                <m:sty m:val="p"/>
              </m:rPr>
              <w:rPr>
                <w:rFonts w:ascii="Cambria Math" w:hAnsi="Cambria Math"/>
                <w:sz w:val="24"/>
              </w:rPr>
              <m:t>-</m:t>
            </m:r>
            <m:r>
              <w:rPr>
                <w:rFonts w:ascii="Cambria Math" w:hAnsi="Cambria Math"/>
                <w:sz w:val="24"/>
              </w:rPr>
              <m:t>1</m:t>
            </m:r>
          </m:num>
          <m:den>
            <m:r>
              <m:rPr>
                <m:sty m:val="p"/>
              </m:rPr>
              <w:rPr>
                <w:rFonts w:ascii="Cambria Math" w:hAnsi="Cambria Math"/>
                <w:sz w:val="24"/>
              </w:rPr>
              <m:t>1</m:t>
            </m:r>
          </m:den>
        </m:f>
        <m:r>
          <m:rPr>
            <m:sty m:val="p"/>
          </m:rPr>
          <w:rPr>
            <w:rFonts w:ascii="Cambria Math" w:hAnsi="Cambria Math" w:cs="Cambria"/>
            <w:sz w:val="24"/>
          </w:rPr>
          <m:t>*</m:t>
        </m:r>
        <m:f>
          <m:fPr>
            <m:ctrlPr>
              <w:rPr>
                <w:rFonts w:ascii="Cambria Math" w:hAnsi="Cambria Math" w:hint="eastAsia"/>
                <w:sz w:val="24"/>
              </w:rPr>
            </m:ctrlPr>
          </m:fPr>
          <m:num>
            <m:r>
              <m:rPr>
                <m:sty m:val="p"/>
              </m:rPr>
              <w:rPr>
                <w:rFonts w:ascii="Cambria Math" w:hAnsi="Cambria Math" w:hint="eastAsia"/>
                <w:sz w:val="24"/>
              </w:rPr>
              <m:t>365</m:t>
            </m:r>
          </m:num>
          <m:den>
            <m:r>
              <m:rPr>
                <m:sty m:val="p"/>
              </m:rPr>
              <w:rPr>
                <w:rFonts w:ascii="Cambria Math" w:hAnsi="Cambria Math"/>
                <w:sz w:val="24"/>
              </w:rPr>
              <m:t>t-</m:t>
            </m:r>
            <m:r>
              <m:rPr>
                <m:sty m:val="p"/>
              </m:rPr>
              <w:rPr>
                <w:rFonts w:ascii="Cambria Math" w:hAnsi="Cambria Math" w:hint="eastAsia"/>
                <w:sz w:val="24"/>
              </w:rPr>
              <m:t>成立日期</m:t>
            </m:r>
          </m:den>
        </m:f>
        <m:r>
          <m:rPr>
            <m:sty m:val="p"/>
          </m:rPr>
          <w:rPr>
            <w:rFonts w:ascii="Cambria Math" w:hAnsi="Cambria Math" w:cs="Cambria"/>
            <w:sz w:val="24"/>
          </w:rPr>
          <m:t>*</m:t>
        </m:r>
        <m:r>
          <m:rPr>
            <m:sty m:val="p"/>
          </m:rPr>
          <w:rPr>
            <w:rFonts w:ascii="Cambria Math" w:hAnsi="Cambria Math" w:hint="eastAsia"/>
            <w:sz w:val="24"/>
          </w:rPr>
          <m:t>100%</m:t>
        </m:r>
      </m:oMath>
    </w:p>
    <w:p w:rsidR="00A919F3" w:rsidRPr="00567D1D" w:rsidP="006F79C0">
      <w:pPr>
        <w:rPr>
          <w:rFonts w:ascii="宋体" w:hAnsi="宋体"/>
          <w:szCs w:val="21"/>
          <w:shd w:val="clear" w:color="auto" w:fill="FFFFFF"/>
        </w:rPr>
      </w:pPr>
      <w:r>
        <w:rPr>
          <w:rFonts w:ascii="宋体" w:hAnsi="宋体" w:cs="宋体" w:hint="eastAsia"/>
          <w:szCs w:val="21"/>
          <w:shd w:val="clear" w:color="auto" w:fill="FFFFFF"/>
        </w:rPr>
        <w:t>t为区间最后一个自然日，理财产品成立日净值按照理财产品认购净值1.0000计算。</w:t>
      </w:r>
    </w:p>
    <w:p w:rsidR="00380479" w:rsidRPr="00A642F9">
      <w:pPr>
        <w:pStyle w:val="Heading1"/>
        <w:jc w:val="center"/>
        <w:rPr>
          <w:rFonts w:ascii="宋体" w:hAnsi="宋体"/>
          <w:sz w:val="24"/>
          <w:szCs w:val="24"/>
          <w:shd w:val="clear" w:color="auto" w:fill="FFFFFF"/>
        </w:rPr>
      </w:pPr>
      <w:bookmarkStart w:id="7" w:name="_Toc256000007"/>
      <w:r w:rsidRPr="00A642F9">
        <w:rPr>
          <w:rFonts w:ascii="宋体" w:hAnsi="宋体" w:hint="eastAsia"/>
          <w:sz w:val="24"/>
          <w:szCs w:val="24"/>
          <w:shd w:val="clear" w:color="auto" w:fill="FFFFFF"/>
        </w:rPr>
        <w:t>§4 管理人报告</w:t>
      </w:r>
      <w:bookmarkEnd w:id="7"/>
    </w:p>
    <w:p w:rsidR="00380479" w:rsidRPr="00A642F9" w:rsidP="003F7FB0">
      <w:pPr>
        <w:pStyle w:val="Heading2"/>
        <w:rPr>
          <w:sz w:val="24"/>
          <w:szCs w:val="24"/>
          <w:shd w:val="clear" w:color="auto" w:fill="FFFFFF"/>
        </w:rPr>
      </w:pPr>
      <w:bookmarkStart w:id="8" w:name="_Toc256000008"/>
      <w:r w:rsidRPr="00A642F9">
        <w:rPr>
          <w:rFonts w:hint="eastAsia"/>
          <w:sz w:val="24"/>
          <w:szCs w:val="24"/>
          <w:shd w:val="clear" w:color="auto" w:fill="FFFFFF"/>
        </w:rPr>
        <w:t>4.1 管理人对报告期内理财产品的投资策略说明</w:t>
      </w:r>
      <w:bookmarkEnd w:id="8"/>
    </w:p>
    <w:p w:rsidR="00F6717A" w:rsidRPr="00A642F9" w:rsidP="00F6717A">
      <w:pPr>
        <w:pStyle w:val="Heading3"/>
        <w:rPr>
          <w:sz w:val="24"/>
          <w:szCs w:val="24"/>
          <w:shd w:val="clear" w:color="auto" w:fill="FFFFFF"/>
        </w:rPr>
      </w:pPr>
      <w:r w:rsidRPr="00A642F9">
        <w:rPr>
          <w:rFonts w:hint="eastAsia"/>
          <w:sz w:val="24"/>
          <w:szCs w:val="24"/>
          <w:shd w:val="clear" w:color="auto" w:fill="FFFFFF"/>
        </w:rPr>
        <w:t>4.1.1 报告期内理财产品投资策略和运作分析</w:t>
      </w:r>
    </w:p>
    <w:p w:rsidR="002E5860" w:rsidP="0002334A">
      <w:pPr>
        <w:ind w:firstLine="420" w:firstLineChars="200"/>
        <w:rPr>
          <w:rFonts w:ascii="宋体" w:hAnsi="宋体"/>
          <w:sz w:val="24"/>
          <w:szCs w:val="24"/>
          <w:shd w:val="clear" w:color="auto" w:fill="FFFFFF"/>
        </w:rPr>
      </w:pPr>
      <w:bookmarkStart w:id="9" w:name="运作分析"/>
      <w:r>
        <w:rPr>
          <w:rFonts w:ascii="宋体" w:hAnsi="宋体"/>
          <w:sz w:val="24"/>
          <w:szCs w:val="24"/>
          <w:shd w:val="clear" w:color="auto" w:fill="FFFFFF"/>
        </w:rPr>
        <w:t>回顾市场，2024年四季度，受益于货币政策的利好以及市场多头情绪的强化，债券收益率整体大幅下行。10月前期权益市场重回3000点，“股债跷跷板”效益对债市造成影响，收益率区间震荡；随后央行宣布调降LPR，以及多项重要会议陆续召开，市场对货币政策的预期较前期更乐观，交投情绪不断走高，市场开启“抢跑”行情，10年期国债利率迅速下行，年底突破1.7%的历史低位。全年来看，有多项因素共同推动了债券收益率的下行，如在政府化债背景下的信用债净融资收紧、监管对资金空转套利的打击、地产销售数据的不断探底等，而对债市不利的因素主要是财政政策的超预期，从结果来看多头占优，市场交投情绪愈到年底则愈发活跃，长债利率达到历史新低。</w:t>
      </w:r>
      <w:bookmarkEnd w:id="9"/>
    </w:p>
    <w:p w:rsidR="00F6717A" w:rsidRPr="0002334A" w:rsidP="0002334A">
      <w:pPr>
        <w:ind w:firstLine="420" w:firstLineChars="200"/>
        <w:rPr>
          <w:rFonts w:ascii="宋体" w:hAnsi="宋体"/>
          <w:sz w:val="24"/>
          <w:szCs w:val="24"/>
          <w:shd w:val="clear" w:color="auto" w:fill="FFFFFF"/>
        </w:rPr>
      </w:pPr>
      <w:r>
        <w:rPr>
          <w:rFonts w:ascii="宋体" w:eastAsia="宋体" w:hAnsi="宋体" w:cs="宋体"/>
          <w:b w:val="0"/>
          <w:i w:val="0"/>
          <w:color w:val="000000"/>
          <w:position w:val="-1"/>
          <w:sz w:val="24"/>
          <w:u w:val="none"/>
        </w:rPr>
        <w:t xml:space="preserve"> </w:t>
      </w:r>
    </w:p>
    <w:p w:rsidR="00F6717A" w:rsidP="00F6717A">
      <w:pPr>
        <w:ind w:firstLine="420" w:firstLineChars="200"/>
        <w:rPr>
          <w:rFonts w:ascii="宋体" w:hAnsi="宋体"/>
          <w:b/>
          <w:sz w:val="24"/>
          <w:shd w:val="clear" w:color="auto" w:fill="FFFFFF"/>
        </w:rPr>
      </w:pPr>
      <w:r w:rsidRPr="00B63470">
        <w:rPr>
          <w:rFonts w:ascii="宋体" w:hAnsi="宋体" w:hint="eastAsia"/>
          <w:b/>
          <w:sz w:val="24"/>
          <w:shd w:val="clear" w:color="auto" w:fill="FFFFFF"/>
        </w:rPr>
        <w:t>附:与</w:t>
      </w:r>
      <w:r w:rsidRPr="00B63470">
        <w:rPr>
          <w:rFonts w:ascii="宋体" w:hAnsi="宋体"/>
          <w:b/>
          <w:sz w:val="24"/>
          <w:shd w:val="clear" w:color="auto" w:fill="FFFFFF"/>
        </w:rPr>
        <w:t>私募</w:t>
      </w:r>
      <w:r w:rsidRPr="00B63470">
        <w:rPr>
          <w:rFonts w:ascii="宋体" w:hAnsi="宋体" w:hint="eastAsia"/>
          <w:b/>
          <w:sz w:val="24"/>
          <w:shd w:val="clear" w:color="auto" w:fill="FFFFFF"/>
        </w:rPr>
        <w:t>合作机构</w:t>
      </w:r>
      <w:r w:rsidRPr="00B63470">
        <w:rPr>
          <w:rFonts w:ascii="宋体" w:hAnsi="宋体"/>
          <w:b/>
          <w:sz w:val="24"/>
          <w:shd w:val="clear" w:color="auto" w:fill="FFFFFF"/>
        </w:rPr>
        <w:t>合作情况</w:t>
      </w:r>
    </w:p>
    <w:tbl>
      <w:tblPr>
        <w:tblStyle w:val="TableGrid"/>
        <w:tblW w:w="0" w:type="auto"/>
        <w:tblLook w:val="04A0"/>
      </w:tblPr>
      <w:tblGrid>
        <w:gridCol w:w="3823"/>
        <w:gridCol w:w="4110"/>
      </w:tblGrid>
      <w:tr w:rsidTr="00A642F9">
        <w:tblPrEx>
          <w:tblW w:w="0" w:type="auto"/>
          <w:tblLook w:val="04A0"/>
        </w:tblPrEx>
        <w:tc>
          <w:tcPr>
            <w:tcW w:w="3823" w:type="dxa"/>
            <w:shd w:val="clear" w:color="auto" w:fill="BFBFBF" w:themeFill="background1" w:themeFillShade="BF"/>
          </w:tcPr>
          <w:p w:rsidR="00F6717A" w:rsidRPr="00A642F9" w:rsidP="005D68AD">
            <w:pPr>
              <w:jc w:val="center"/>
              <w:rPr>
                <w:rFonts w:ascii="宋体" w:hAnsi="宋体"/>
                <w:b/>
                <w:sz w:val="24"/>
              </w:rPr>
            </w:pPr>
            <w:r w:rsidRPr="00A642F9">
              <w:rPr>
                <w:rFonts w:ascii="宋体" w:hAnsi="宋体" w:cs="宋体" w:hint="eastAsia"/>
                <w:b/>
                <w:kern w:val="0"/>
                <w:szCs w:val="21"/>
              </w:rPr>
              <w:t>私募合作机构</w:t>
            </w:r>
          </w:p>
        </w:tc>
        <w:tc>
          <w:tcPr>
            <w:tcW w:w="4110" w:type="dxa"/>
            <w:shd w:val="clear" w:color="auto" w:fill="BFBFBF" w:themeFill="background1" w:themeFillShade="BF"/>
          </w:tcPr>
          <w:p w:rsidR="00F6717A" w:rsidRPr="00A642F9" w:rsidP="005D68AD">
            <w:pPr>
              <w:jc w:val="center"/>
              <w:rPr>
                <w:rFonts w:ascii="宋体" w:hAnsi="宋体"/>
                <w:b/>
                <w:sz w:val="24"/>
              </w:rPr>
            </w:pPr>
            <w:r w:rsidRPr="00A642F9">
              <w:rPr>
                <w:rFonts w:ascii="宋体" w:hAnsi="宋体" w:cs="宋体" w:hint="eastAsia"/>
                <w:b/>
                <w:kern w:val="0"/>
                <w:szCs w:val="21"/>
              </w:rPr>
              <w:t>合作模式</w:t>
            </w:r>
          </w:p>
        </w:tc>
      </w:tr>
      <w:tr w:rsidTr="005D68AD">
        <w:tblPrEx>
          <w:tblW w:w="0" w:type="auto"/>
          <w:tblLook w:val="04A0"/>
        </w:tblPrEx>
        <w:tc>
          <w:tcPr>
            <w:tcW w:w="3823" w:type="dxa"/>
          </w:tcPr>
          <w:p>
            <w:pPr>
              <w:ind w:left="-1" w:right="-1"/>
              <w:jc w:val="center"/>
            </w:pPr>
            <w:r>
              <w:rPr>
                <w:rFonts w:ascii="宋体" w:eastAsia="宋体" w:hAnsi="宋体" w:cs="宋体"/>
                <w:b w:val="0"/>
                <w:i w:val="0"/>
                <w:color w:val="000000"/>
                <w:spacing w:val="0"/>
                <w:position w:val="-1"/>
                <w:sz w:val="24"/>
                <w:u w:val="none"/>
                <w:vertAlign w:val="baseline"/>
              </w:rPr>
              <w:t>-</w:t>
            </w:r>
          </w:p>
        </w:tc>
        <w:tc>
          <w:tcPr>
            <w:tcW w:w="4110" w:type="dxa"/>
          </w:tcPr>
          <w:p>
            <w:pPr>
              <w:ind w:left="-1" w:right="-1"/>
              <w:jc w:val="center"/>
            </w:pPr>
            <w:r>
              <w:rPr>
                <w:rFonts w:ascii="宋体" w:eastAsia="宋体" w:hAnsi="宋体" w:cs="宋体"/>
                <w:b w:val="0"/>
                <w:i w:val="0"/>
                <w:color w:val="000000"/>
                <w:spacing w:val="0"/>
                <w:position w:val="-1"/>
                <w:sz w:val="24"/>
                <w:u w:val="none"/>
                <w:vertAlign w:val="baseline"/>
              </w:rPr>
              <w:t>-</w:t>
            </w:r>
          </w:p>
        </w:tc>
      </w:tr>
    </w:tbl>
    <w:p w:rsidR="008D77ED" w:rsidRPr="0071237C" w:rsidP="0071237C">
      <w:pPr>
        <w:pStyle w:val="Heading3"/>
        <w:rPr>
          <w:sz w:val="24"/>
          <w:szCs w:val="24"/>
          <w:shd w:val="clear" w:color="auto" w:fill="FFFFFF"/>
        </w:rPr>
      </w:pPr>
      <w:r w:rsidRPr="0071237C">
        <w:rPr>
          <w:rFonts w:hint="eastAsia"/>
          <w:sz w:val="24"/>
          <w:szCs w:val="24"/>
          <w:shd w:val="clear" w:color="auto" w:fill="FFFFFF"/>
        </w:rPr>
        <w:t>4.1.</w:t>
      </w:r>
      <w:r w:rsidRPr="0071237C">
        <w:rPr>
          <w:sz w:val="24"/>
          <w:szCs w:val="24"/>
          <w:shd w:val="clear" w:color="auto" w:fill="FFFFFF"/>
        </w:rPr>
        <w:t>2</w:t>
      </w:r>
      <w:r w:rsidRPr="0071237C">
        <w:rPr>
          <w:rFonts w:hint="eastAsia"/>
          <w:sz w:val="24"/>
          <w:szCs w:val="24"/>
          <w:shd w:val="clear" w:color="auto" w:fill="FFFFFF"/>
        </w:rPr>
        <w:t xml:space="preserve"> 报告期内理财产品流动性风险分析</w:t>
      </w:r>
    </w:p>
    <w:p w:rsidR="008D77ED" w:rsidRPr="008D77ED" w:rsidP="008D77ED">
      <w:pPr>
        <w:ind w:firstLine="420" w:firstLineChars="200"/>
        <w:rPr>
          <w:sz w:val="24"/>
          <w:shd w:val="clear" w:color="auto" w:fill="FFFFFF"/>
        </w:rPr>
      </w:pPr>
      <w:r w:rsidRPr="008D77ED">
        <w:rPr>
          <w:rFonts w:hint="eastAsia"/>
          <w:sz w:val="24"/>
          <w:shd w:val="clear" w:color="auto" w:fill="FFFFFF"/>
        </w:rPr>
        <w:t>流动性风险是指产品在履行与金融负债有关的义务时遇到资金短缺的风险。本产品的流动性风险一方面来自理财份额持有人可在约定的开放日或到期日提出赎回其持有的理财份额，另一方面来自于投资品种所处的交易市场不活跃可能带来的资产变现困难或产品持仓资产在市场出现剧烈波动的情况下难以以合理价格变现的风险。</w:t>
      </w:r>
    </w:p>
    <w:p w:rsidR="008D77ED" w:rsidP="008D77ED">
      <w:pPr>
        <w:ind w:firstLine="420" w:firstLineChars="200"/>
        <w:rPr>
          <w:sz w:val="24"/>
          <w:shd w:val="clear" w:color="auto" w:fill="FFFFFF"/>
        </w:rPr>
      </w:pPr>
      <w:r w:rsidRPr="008D77ED">
        <w:rPr>
          <w:rFonts w:hint="eastAsia"/>
          <w:sz w:val="24"/>
          <w:shd w:val="clear" w:color="auto" w:fill="FFFFFF"/>
        </w:rPr>
        <w:t>本理财产品管理人通过合理安排产品的投资品种和期限结构、限制资产持仓集中度、监控组合资金头寸等方式管理产品的流动性风险，确保本产品资产的变现能力与投资者赎回需求的匹配。报告期内，本产品未发生重大流动性风险事件。</w:t>
      </w:r>
    </w:p>
    <w:p w:rsidR="008D77ED" w:rsidRPr="008D77ED" w:rsidP="008D77ED">
      <w:pPr>
        <w:rPr>
          <w:rFonts w:ascii="宋体" w:hAnsi="宋体"/>
          <w:szCs w:val="21"/>
          <w:shd w:val="clear" w:color="auto" w:fill="FFFFFF"/>
        </w:rPr>
      </w:pPr>
    </w:p>
    <w:p w:rsidR="00F6717A" w:rsidRPr="0071237C" w:rsidP="0071237C">
      <w:pPr>
        <w:pStyle w:val="Heading3"/>
        <w:rPr>
          <w:sz w:val="24"/>
          <w:szCs w:val="24"/>
          <w:shd w:val="clear" w:color="auto" w:fill="FFFFFF"/>
        </w:rPr>
      </w:pPr>
      <w:r w:rsidRPr="0071237C">
        <w:rPr>
          <w:rFonts w:hint="eastAsia"/>
          <w:sz w:val="24"/>
          <w:szCs w:val="24"/>
          <w:shd w:val="clear" w:color="auto" w:fill="FFFFFF"/>
        </w:rPr>
        <w:t>4.1.</w:t>
      </w:r>
      <w:r w:rsidRPr="0071237C">
        <w:rPr>
          <w:sz w:val="24"/>
          <w:szCs w:val="24"/>
          <w:shd w:val="clear" w:color="auto" w:fill="FFFFFF"/>
        </w:rPr>
        <w:t>3</w:t>
      </w:r>
      <w:r w:rsidRPr="0071237C">
        <w:rPr>
          <w:rFonts w:hint="eastAsia"/>
          <w:sz w:val="24"/>
          <w:szCs w:val="24"/>
          <w:shd w:val="clear" w:color="auto" w:fill="FFFFFF"/>
        </w:rPr>
        <w:t xml:space="preserve"> 管理人对未来的简要展望</w:t>
      </w:r>
    </w:p>
    <w:p w:rsidR="002E5860" w:rsidP="0002334A">
      <w:pPr>
        <w:ind w:firstLine="420" w:firstLineChars="200"/>
        <w:rPr>
          <w:rFonts w:ascii="宋体" w:hAnsi="宋体"/>
          <w:sz w:val="24"/>
          <w:szCs w:val="24"/>
          <w:shd w:val="clear" w:color="auto" w:fill="FFFFFF"/>
        </w:rPr>
      </w:pPr>
      <w:bookmarkStart w:id="10" w:name="简要展望"/>
      <w:r>
        <w:rPr>
          <w:rFonts w:ascii="宋体" w:hAnsi="宋体"/>
          <w:sz w:val="24"/>
          <w:szCs w:val="24"/>
          <w:shd w:val="clear" w:color="auto" w:fill="FFFFFF"/>
        </w:rPr>
        <w:t>产品报告期内整体运作稳健。债券配置方面，在市场收益率快速下行的过程中，产品积极调整资产配置结构，适度增加久期和杠杠，不仅把握住收益率下行的市场机会，也努力保持对回撤的控制和波动率的管控。后续产品将逐步采取防守策略，做好止盈，打造更平稳的产品净值体验。</w:t>
      </w:r>
      <w:bookmarkEnd w:id="10"/>
    </w:p>
    <w:p w:rsidR="00380479" w:rsidRPr="0071237C" w:rsidP="0071237C">
      <w:pPr>
        <w:pStyle w:val="Heading2"/>
        <w:rPr>
          <w:sz w:val="24"/>
          <w:szCs w:val="24"/>
        </w:rPr>
      </w:pPr>
      <w:bookmarkStart w:id="11" w:name="_Toc256000009"/>
      <w:r w:rsidRPr="0071237C">
        <w:rPr>
          <w:rFonts w:hint="eastAsia"/>
          <w:sz w:val="24"/>
          <w:szCs w:val="24"/>
        </w:rPr>
        <w:t xml:space="preserve">4.2 </w:t>
      </w:r>
      <w:r w:rsidRPr="0071237C" w:rsidR="00364152">
        <w:rPr>
          <w:rFonts w:hint="eastAsia"/>
          <w:sz w:val="24"/>
          <w:szCs w:val="24"/>
        </w:rPr>
        <w:t>理财产品报告期内关联</w:t>
      </w:r>
      <w:r w:rsidRPr="0071237C">
        <w:rPr>
          <w:rFonts w:hint="eastAsia"/>
          <w:sz w:val="24"/>
          <w:szCs w:val="24"/>
        </w:rPr>
        <w:t>交易</w:t>
      </w:r>
      <w:r w:rsidRPr="0071237C" w:rsidR="005C0C96">
        <w:rPr>
          <w:rFonts w:hint="eastAsia"/>
          <w:sz w:val="24"/>
          <w:szCs w:val="24"/>
        </w:rPr>
        <w:t>发生</w:t>
      </w:r>
      <w:r w:rsidRPr="0071237C">
        <w:rPr>
          <w:rFonts w:hint="eastAsia"/>
          <w:sz w:val="24"/>
          <w:szCs w:val="24"/>
        </w:rPr>
        <w:t>情况</w:t>
      </w:r>
      <w:bookmarkEnd w:id="11"/>
    </w:p>
    <w:p w:rsidR="000E06DE">
      <w:pPr>
        <w:pStyle w:val="Normal0"/>
        <w:rPr>
          <w:rStyle w:val="DefaultParagraphFont"/>
          <w:rFonts w:ascii="宋体" w:hAnsi="宋体"/>
          <w:sz w:val="24"/>
          <w:szCs w:val="24"/>
          <w:lang w:val="zh-CN"/>
        </w:rPr>
      </w:pPr>
      <w:r>
        <w:rPr>
          <w:rStyle w:val="DefaultParagraphFont"/>
          <w:rFonts w:ascii="宋体" w:eastAsia="宋体" w:hAnsi="宋体" w:cs="宋体"/>
          <w:b w:val="0"/>
          <w:color w:val="000000"/>
          <w:sz w:val="24"/>
        </w:rPr>
        <w:t>4.2</w:t>
      </w:r>
      <w:r>
        <w:rPr>
          <w:rStyle w:val="DefaultParagraphFont"/>
          <w:rFonts w:ascii="宋体" w:hAnsi="宋体" w:hint="eastAsia"/>
          <w:sz w:val="24"/>
          <w:szCs w:val="24"/>
        </w:rPr>
        <w:t>.</w:t>
      </w:r>
      <w:r>
        <w:rPr>
          <w:rStyle w:val="DefaultParagraphFont"/>
          <w:rFonts w:ascii="宋体" w:hAnsi="宋体" w:hint="eastAsia"/>
          <w:sz w:val="24"/>
          <w:szCs w:val="24"/>
          <w:lang w:val="zh-CN"/>
        </w:rPr>
        <w:t>1本产品投资于关联方发行的证券，投资金额总计</w:t>
      </w:r>
      <w:r>
        <w:rPr>
          <w:rStyle w:val="DefaultParagraphFont"/>
          <w:rFonts w:ascii="宋体" w:eastAsia="宋体" w:hAnsi="宋体" w:cs="宋体"/>
          <w:b w:val="0"/>
          <w:color w:val="000000"/>
          <w:sz w:val="24"/>
        </w:rPr>
        <w:t>180,569,955.44</w:t>
      </w:r>
      <w:r>
        <w:rPr>
          <w:rStyle w:val="DefaultParagraphFont"/>
          <w:rFonts w:ascii="宋体" w:hAnsi="宋体" w:hint="eastAsia"/>
          <w:sz w:val="24"/>
          <w:szCs w:val="24"/>
          <w:lang w:val="zh-CN"/>
        </w:rPr>
        <w:t>元；</w:t>
      </w:r>
    </w:p>
    <w:p w:rsidR="000E06DE">
      <w:pPr>
        <w:pStyle w:val="Normal0"/>
        <w:rPr>
          <w:rStyle w:val="DefaultParagraphFont"/>
          <w:rFonts w:ascii="宋体" w:hAnsi="宋体"/>
          <w:sz w:val="24"/>
          <w:szCs w:val="24"/>
          <w:lang w:val="zh-CN"/>
        </w:rPr>
      </w:pPr>
      <w:r>
        <w:rPr>
          <w:rStyle w:val="DefaultParagraphFont"/>
          <w:rFonts w:ascii="宋体" w:eastAsia="宋体" w:hAnsi="宋体" w:cs="宋体"/>
          <w:b w:val="0"/>
          <w:color w:val="000000"/>
          <w:sz w:val="24"/>
        </w:rPr>
        <w:t>4.2</w:t>
      </w:r>
      <w:r>
        <w:rPr>
          <w:rStyle w:val="DefaultParagraphFont"/>
          <w:rFonts w:ascii="宋体" w:hAnsi="宋体" w:hint="eastAsia"/>
          <w:sz w:val="24"/>
          <w:szCs w:val="24"/>
        </w:rPr>
        <w:t>.</w:t>
      </w:r>
      <w:r>
        <w:rPr>
          <w:rStyle w:val="DefaultParagraphFont"/>
          <w:rFonts w:ascii="宋体" w:hAnsi="宋体" w:hint="eastAsia"/>
          <w:sz w:val="24"/>
          <w:szCs w:val="24"/>
          <w:lang w:val="zh-CN"/>
        </w:rPr>
        <w:t>2本产品投资于关联方承销的证券，投资金额总计</w:t>
      </w:r>
      <w:r>
        <w:rPr>
          <w:rStyle w:val="DefaultParagraphFont"/>
          <w:rFonts w:ascii="宋体" w:eastAsia="宋体" w:hAnsi="宋体" w:cs="宋体"/>
          <w:b w:val="0"/>
          <w:color w:val="000000"/>
          <w:sz w:val="24"/>
        </w:rPr>
        <w:t>91,000,000.00</w:t>
      </w:r>
      <w:r>
        <w:rPr>
          <w:rStyle w:val="DefaultParagraphFont"/>
          <w:rFonts w:ascii="宋体" w:hAnsi="宋体" w:hint="eastAsia"/>
          <w:sz w:val="24"/>
          <w:szCs w:val="24"/>
          <w:lang w:val="zh-CN"/>
        </w:rPr>
        <w:t>元；</w:t>
      </w:r>
    </w:p>
    <w:p w:rsidR="000E06DE">
      <w:pPr>
        <w:pStyle w:val="Normal0"/>
        <w:rPr>
          <w:rStyle w:val="DefaultParagraphFont"/>
          <w:rFonts w:ascii="宋体" w:hAnsi="宋体"/>
          <w:sz w:val="24"/>
          <w:szCs w:val="24"/>
          <w:lang w:val="zh-CN"/>
        </w:rPr>
      </w:pPr>
      <w:r>
        <w:rPr>
          <w:rStyle w:val="DefaultParagraphFont"/>
          <w:rFonts w:ascii="宋体" w:eastAsia="宋体" w:hAnsi="宋体" w:cs="宋体"/>
          <w:b w:val="0"/>
          <w:color w:val="000000"/>
          <w:sz w:val="24"/>
        </w:rPr>
        <w:t>4.2</w:t>
      </w:r>
      <w:r>
        <w:rPr>
          <w:rStyle w:val="DefaultParagraphFont"/>
          <w:rFonts w:ascii="宋体" w:hAnsi="宋体" w:hint="eastAsia"/>
          <w:sz w:val="24"/>
          <w:szCs w:val="24"/>
        </w:rPr>
        <w:t>.</w:t>
      </w:r>
      <w:r>
        <w:rPr>
          <w:rStyle w:val="DefaultParagraphFont"/>
          <w:rFonts w:ascii="宋体" w:hAnsi="宋体"/>
          <w:sz w:val="24"/>
          <w:szCs w:val="24"/>
          <w:lang w:val="zh-CN"/>
        </w:rPr>
        <w:t>3</w:t>
      </w:r>
      <w:r>
        <w:rPr>
          <w:rStyle w:val="DefaultParagraphFont"/>
          <w:rFonts w:ascii="宋体" w:hAnsi="宋体" w:hint="eastAsia"/>
          <w:sz w:val="24"/>
          <w:szCs w:val="24"/>
          <w:lang w:val="zh-CN"/>
        </w:rPr>
        <w:t>本产品与关联方发生的服务类关联交易</w:t>
      </w:r>
    </w:p>
    <w:p w:rsidR="000E06DE">
      <w:pPr>
        <w:pStyle w:val="Normal0"/>
        <w:ind w:firstLine="420" w:firstLineChars="200"/>
        <w:rPr>
          <w:rStyle w:val="DefaultParagraphFont"/>
          <w:rFonts w:ascii="宋体" w:hAnsi="宋体"/>
          <w:sz w:val="24"/>
          <w:szCs w:val="24"/>
          <w:lang w:val="zh-CN"/>
        </w:rPr>
      </w:pPr>
      <w:r>
        <w:rPr>
          <w:rStyle w:val="DefaultParagraphFont"/>
          <w:rFonts w:ascii="宋体" w:eastAsia="宋体" w:hAnsi="宋体" w:cs="宋体"/>
          <w:b w:val="0"/>
          <w:color w:val="000000"/>
          <w:sz w:val="24"/>
        </w:rPr>
        <w:t>1、本产品投资于关联方发行管理的资管产品，应付管理费300,461.95元；</w:t>
      </w:r>
    </w:p>
    <w:p w:rsidR="000E06DE" w:rsidRPr="001B5777" w:rsidP="001B5777">
      <w:pPr>
        <w:pStyle w:val="Normal0"/>
        <w:rPr>
          <w:rStyle w:val="DefaultParagraphFont"/>
          <w:rFonts w:ascii="宋体" w:hAnsi="宋体"/>
          <w:sz w:val="18"/>
          <w:szCs w:val="18"/>
          <w:shd w:val="clear" w:color="auto" w:fill="FFFFFF"/>
        </w:rPr>
      </w:pPr>
      <w:r w:rsidRPr="001B5777">
        <w:rPr>
          <w:rStyle w:val="DefaultParagraphFont"/>
          <w:rFonts w:ascii="宋体" w:hAnsi="宋体" w:hint="eastAsia"/>
          <w:szCs w:val="21"/>
          <w:shd w:val="clear" w:color="auto" w:fill="FFFFFF"/>
        </w:rPr>
        <w:t>注：此处管理费为应付金额，根据管理人或托管行等第三方提供的管理费率按日加总计算，可能与实付金额存在一定误差。</w:t>
      </w:r>
      <w:r>
        <w:rPr>
          <w:rStyle w:val="DefaultParagraphFont"/>
        </w:rPr>
        <w:cr/>
      </w:r>
      <w:r>
        <w:rPr>
          <w:rStyle w:val="DefaultParagraphFont"/>
          <w:rFonts w:ascii="宋体" w:eastAsia="宋体" w:hAnsi="宋体" w:cs="宋体"/>
          <w:b w:val="0"/>
          <w:i w:val="0"/>
          <w:color w:val="000000"/>
          <w:position w:val="-1"/>
          <w:sz w:val="24"/>
          <w:u w:val="none"/>
        </w:rPr>
        <w:t xml:space="preserve">    2、报告期内，本产品向招商银行股份有限公司实付销售服务费用6,063,857.72元，实付托管费用1,159,649.10元。</w:t>
      </w:r>
    </w:p>
    <w:p w:rsidR="000E06DE">
      <w:pPr>
        <w:pStyle w:val="Normal0"/>
        <w:rPr>
          <w:rStyle w:val="DefaultParagraphFont"/>
          <w:rFonts w:ascii="宋体" w:hAnsi="宋体"/>
          <w:sz w:val="24"/>
          <w:szCs w:val="24"/>
          <w:lang w:val="zh-CN"/>
        </w:rPr>
      </w:pPr>
      <w:r>
        <w:rPr>
          <w:rStyle w:val="DefaultParagraphFont"/>
          <w:rFonts w:ascii="宋体" w:eastAsia="宋体" w:hAnsi="宋体" w:cs="宋体"/>
          <w:b w:val="0"/>
          <w:color w:val="000000"/>
          <w:sz w:val="24"/>
        </w:rPr>
        <w:t>4.2</w:t>
      </w:r>
      <w:r>
        <w:rPr>
          <w:rStyle w:val="DefaultParagraphFont"/>
          <w:rFonts w:ascii="宋体" w:hAnsi="宋体" w:hint="eastAsia"/>
          <w:sz w:val="24"/>
          <w:szCs w:val="24"/>
        </w:rPr>
        <w:t>.</w:t>
      </w:r>
      <w:r>
        <w:rPr>
          <w:rStyle w:val="DefaultParagraphFont"/>
          <w:rFonts w:ascii="宋体" w:hAnsi="宋体" w:hint="eastAsia"/>
          <w:sz w:val="24"/>
          <w:szCs w:val="24"/>
          <w:lang w:val="zh-CN"/>
        </w:rPr>
        <w:t>4本产品发生的其他类关联交易，</w:t>
      </w:r>
      <w:r>
        <w:rPr>
          <w:rStyle w:val="DefaultParagraphFont"/>
          <w:rFonts w:ascii="宋体" w:hAnsi="宋体" w:hint="eastAsia"/>
          <w:sz w:val="24"/>
          <w:szCs w:val="24"/>
        </w:rPr>
        <w:t>合计关联交易金额为</w:t>
      </w:r>
      <w:r>
        <w:rPr>
          <w:rStyle w:val="DefaultParagraphFont"/>
          <w:rFonts w:ascii="宋体" w:eastAsia="宋体" w:hAnsi="宋体" w:cs="宋体"/>
          <w:b w:val="0"/>
          <w:color w:val="000000"/>
          <w:sz w:val="24"/>
        </w:rPr>
        <w:t>92,708,506.06</w:t>
      </w:r>
      <w:r>
        <w:rPr>
          <w:rStyle w:val="DefaultParagraphFont"/>
          <w:rFonts w:ascii="宋体" w:hAnsi="宋体" w:hint="eastAsia"/>
          <w:sz w:val="24"/>
          <w:szCs w:val="24"/>
          <w:lang w:val="zh-CN"/>
        </w:rPr>
        <w:t>元。</w:t>
      </w:r>
    </w:p>
    <w:p w:rsidR="000E06DE">
      <w:pPr>
        <w:pStyle w:val="Normal0"/>
        <w:rPr>
          <w:rStyle w:val="DefaultParagraphFont"/>
          <w:rFonts w:ascii="宋体" w:hAnsi="宋体"/>
          <w:sz w:val="24"/>
          <w:szCs w:val="24"/>
          <w:lang w:val="zh-CN"/>
        </w:rPr>
      </w:pPr>
      <w:r>
        <w:rPr>
          <w:rStyle w:val="DefaultParagraphFont"/>
          <w:rFonts w:ascii="宋体" w:eastAsia="宋体" w:hAnsi="宋体" w:cs="宋体"/>
          <w:b w:val="0"/>
          <w:color w:val="000000"/>
          <w:sz w:val="24"/>
        </w:rPr>
        <w:t>4.2</w:t>
      </w:r>
      <w:r>
        <w:rPr>
          <w:rStyle w:val="DefaultParagraphFont"/>
          <w:rFonts w:ascii="宋体" w:hAnsi="宋体" w:hint="eastAsia"/>
          <w:sz w:val="24"/>
          <w:szCs w:val="24"/>
        </w:rPr>
        <w:t>.</w:t>
      </w:r>
      <w:r>
        <w:rPr>
          <w:rStyle w:val="DefaultParagraphFont"/>
          <w:rFonts w:ascii="宋体" w:hAnsi="宋体" w:hint="eastAsia"/>
          <w:sz w:val="24"/>
          <w:szCs w:val="24"/>
          <w:lang w:val="zh-CN"/>
        </w:rPr>
        <w:t>5本产品报告期内重大关联交易发生情况</w:t>
      </w:r>
    </w:p>
    <w:p w:rsidR="000E06DE" w:rsidP="006979CC">
      <w:pPr>
        <w:pStyle w:val="Normal0"/>
        <w:rPr>
          <w:rStyle w:val="DefaultParagraphFont"/>
          <w:rFonts w:ascii="宋体" w:hAnsi="宋体"/>
          <w:sz w:val="24"/>
          <w:szCs w:val="24"/>
          <w:lang w:val="zh-CN"/>
        </w:rPr>
      </w:pPr>
      <w:r>
        <w:rPr>
          <w:rStyle w:val="DefaultParagraphFont"/>
          <w:rFonts w:ascii="宋体" w:hAnsi="宋体"/>
          <w:sz w:val="24"/>
          <w:szCs w:val="24"/>
          <w:lang w:val="zh-CN"/>
        </w:rPr>
        <w:tab/>
      </w:r>
      <w:r>
        <w:rPr>
          <w:rStyle w:val="DefaultParagraphFont"/>
          <w:rFonts w:ascii="宋体" w:eastAsia="宋体" w:hAnsi="宋体" w:cs="宋体"/>
          <w:b w:val="0"/>
          <w:color w:val="000000"/>
          <w:sz w:val="24"/>
        </w:rPr>
        <w:t>报告期内，本产品未发生重大关联交易。</w:t>
      </w:r>
    </w:p>
    <w:p w:rsidR="00380479" w:rsidRPr="0071237C">
      <w:pPr>
        <w:pStyle w:val="Heading1"/>
        <w:jc w:val="center"/>
        <w:rPr>
          <w:rFonts w:ascii="宋体" w:hAnsi="宋体"/>
          <w:sz w:val="24"/>
          <w:szCs w:val="24"/>
          <w:shd w:val="clear" w:color="auto" w:fill="FFFFFF"/>
        </w:rPr>
      </w:pPr>
      <w:bookmarkStart w:id="13" w:name="_Toc256000010"/>
      <w:r w:rsidRPr="0071237C">
        <w:rPr>
          <w:rFonts w:ascii="宋体" w:hAnsi="宋体" w:hint="eastAsia"/>
          <w:sz w:val="24"/>
          <w:szCs w:val="24"/>
          <w:shd w:val="clear" w:color="auto" w:fill="FFFFFF"/>
        </w:rPr>
        <w:t>§</w:t>
      </w:r>
      <w:r w:rsidRPr="0071237C" w:rsidR="00B21928">
        <w:rPr>
          <w:rFonts w:ascii="宋体" w:hAnsi="宋体"/>
          <w:sz w:val="24"/>
          <w:szCs w:val="24"/>
          <w:shd w:val="clear" w:color="auto" w:fill="FFFFFF"/>
        </w:rPr>
        <w:t>5</w:t>
      </w:r>
      <w:r w:rsidRPr="0071237C">
        <w:rPr>
          <w:rFonts w:ascii="宋体" w:hAnsi="宋体" w:hint="eastAsia"/>
          <w:sz w:val="24"/>
          <w:szCs w:val="24"/>
          <w:shd w:val="clear" w:color="auto" w:fill="FFFFFF"/>
        </w:rPr>
        <w:t xml:space="preserve"> 投资组合报告</w:t>
      </w:r>
      <w:bookmarkEnd w:id="13"/>
    </w:p>
    <w:p w:rsidR="00B05C45" w:rsidRPr="0071237C" w:rsidP="0071237C">
      <w:pPr>
        <w:pStyle w:val="Heading2"/>
        <w:rPr>
          <w:sz w:val="24"/>
          <w:szCs w:val="24"/>
          <w:shd w:val="clear" w:color="auto" w:fill="FFFFFF"/>
        </w:rPr>
      </w:pPr>
      <w:bookmarkStart w:id="14" w:name="_Toc256000011"/>
      <w:r w:rsidRPr="0071237C">
        <w:rPr>
          <w:sz w:val="24"/>
          <w:szCs w:val="24"/>
          <w:shd w:val="clear" w:color="auto" w:fill="FFFFFF"/>
        </w:rPr>
        <w:t>5</w:t>
      </w:r>
      <w:r w:rsidRPr="0071237C">
        <w:rPr>
          <w:rFonts w:hint="eastAsia"/>
          <w:sz w:val="24"/>
          <w:szCs w:val="24"/>
          <w:shd w:val="clear" w:color="auto" w:fill="FFFFFF"/>
        </w:rPr>
        <w:t>.1 期末理财产品资产组合情况</w:t>
      </w:r>
      <w:bookmarkEnd w:id="14"/>
    </w:p>
    <w:tbl>
      <w:tblPr>
        <w:tblW w:w="9330" w:type="dxa"/>
        <w:tblInd w:w="-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69"/>
        <w:gridCol w:w="1729"/>
        <w:gridCol w:w="2149"/>
        <w:gridCol w:w="1417"/>
        <w:gridCol w:w="2149"/>
        <w:gridCol w:w="1417"/>
      </w:tblGrid>
      <w:tr w:rsidTr="00634720">
        <w:tblPrEx>
          <w:tblW w:w="9330" w:type="dxa"/>
          <w:tblInd w:w="-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692"/>
        </w:trPr>
        <w:tc>
          <w:tcPr>
            <w:tcW w:w="469" w:type="dxa"/>
            <w:vMerge w:val="restart"/>
            <w:tcBorders>
              <w:top w:val="single" w:sz="4" w:space="0" w:color="auto"/>
              <w:left w:val="single" w:sz="4" w:space="0" w:color="auto"/>
              <w:bottom w:val="single" w:sz="4" w:space="0" w:color="auto"/>
              <w:right w:val="single" w:sz="4" w:space="0" w:color="auto"/>
            </w:tcBorders>
            <w:shd w:val="clear" w:color="auto" w:fill="D9D9D9"/>
            <w:vAlign w:val="center"/>
          </w:tcPr>
          <w:p w:rsidR="00412139" w:rsidP="00634720">
            <w:pPr>
              <w:jc w:val="center"/>
              <w:rPr>
                <w:rFonts w:ascii="宋体" w:hAnsi="宋体"/>
                <w:b/>
                <w:szCs w:val="21"/>
              </w:rPr>
            </w:pPr>
            <w:bookmarkStart w:id="15" w:name="_Toc98232004"/>
            <w:bookmarkStart w:id="16" w:name="_Toc96090170"/>
            <w:bookmarkStart w:id="17" w:name="_Toc96614795"/>
            <w:r>
              <w:rPr>
                <w:rFonts w:ascii="宋体" w:hAnsi="宋体" w:hint="eastAsia"/>
                <w:b/>
                <w:szCs w:val="21"/>
              </w:rPr>
              <w:t>序号</w:t>
            </w:r>
          </w:p>
        </w:tc>
        <w:tc>
          <w:tcPr>
            <w:tcW w:w="1729" w:type="dxa"/>
            <w:vMerge w:val="restart"/>
            <w:tcBorders>
              <w:top w:val="single" w:sz="4" w:space="0" w:color="auto"/>
              <w:left w:val="single" w:sz="4" w:space="0" w:color="auto"/>
              <w:bottom w:val="single" w:sz="4" w:space="0" w:color="auto"/>
              <w:right w:val="single" w:sz="4" w:space="0" w:color="auto"/>
            </w:tcBorders>
            <w:shd w:val="clear" w:color="auto" w:fill="D9D9D9"/>
            <w:vAlign w:val="center"/>
          </w:tcPr>
          <w:p w:rsidR="00412139" w:rsidP="00634720">
            <w:pPr>
              <w:jc w:val="center"/>
              <w:rPr>
                <w:rFonts w:ascii="宋体" w:hAnsi="宋体"/>
                <w:b/>
                <w:szCs w:val="21"/>
              </w:rPr>
            </w:pPr>
            <w:r>
              <w:rPr>
                <w:rFonts w:ascii="宋体" w:hAnsi="宋体" w:hint="eastAsia"/>
                <w:b/>
                <w:szCs w:val="21"/>
              </w:rPr>
              <w:t>项目</w:t>
            </w:r>
          </w:p>
        </w:tc>
        <w:tc>
          <w:tcPr>
            <w:tcW w:w="3566"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rsidR="00412139" w:rsidP="00634720">
            <w:pPr>
              <w:jc w:val="center"/>
              <w:rPr>
                <w:rFonts w:ascii="宋体" w:hAnsi="宋体"/>
                <w:b/>
                <w:szCs w:val="21"/>
              </w:rPr>
            </w:pPr>
            <w:r>
              <w:rPr>
                <w:rFonts w:ascii="宋体" w:hAnsi="宋体" w:hint="eastAsia"/>
                <w:b/>
                <w:szCs w:val="21"/>
              </w:rPr>
              <w:t>穿透前</w:t>
            </w:r>
          </w:p>
        </w:tc>
        <w:tc>
          <w:tcPr>
            <w:tcW w:w="3566"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rsidR="00412139" w:rsidP="00634720">
            <w:pPr>
              <w:jc w:val="center"/>
              <w:rPr>
                <w:rFonts w:ascii="宋体" w:hAnsi="宋体"/>
                <w:b/>
                <w:szCs w:val="21"/>
              </w:rPr>
            </w:pPr>
            <w:r>
              <w:rPr>
                <w:rFonts w:ascii="宋体" w:hAnsi="宋体" w:hint="eastAsia"/>
                <w:b/>
                <w:szCs w:val="21"/>
              </w:rPr>
              <w:t>穿透后</w:t>
            </w:r>
          </w:p>
        </w:tc>
      </w:tr>
      <w:tr w:rsidTr="00C16DF6">
        <w:tblPrEx>
          <w:tblW w:w="9330" w:type="dxa"/>
          <w:tblInd w:w="-7" w:type="dxa"/>
          <w:tblLayout w:type="fixed"/>
          <w:tblLook w:val="04A0"/>
        </w:tblPrEx>
        <w:trPr>
          <w:trHeight w:val="692"/>
        </w:trPr>
        <w:tc>
          <w:tcPr>
            <w:tcW w:w="469" w:type="dxa"/>
            <w:vMerge/>
            <w:tcBorders>
              <w:top w:val="single" w:sz="4" w:space="0" w:color="auto"/>
              <w:left w:val="single" w:sz="4" w:space="0" w:color="auto"/>
              <w:bottom w:val="single" w:sz="4" w:space="0" w:color="auto"/>
              <w:right w:val="single" w:sz="4" w:space="0" w:color="auto"/>
            </w:tcBorders>
            <w:vAlign w:val="center"/>
          </w:tcPr>
          <w:p w:rsidR="00412139" w:rsidP="00634720">
            <w:pPr>
              <w:widowControl/>
              <w:jc w:val="left"/>
              <w:rPr>
                <w:rFonts w:ascii="宋体" w:hAnsi="宋体"/>
                <w:b/>
                <w:szCs w:val="21"/>
              </w:rPr>
            </w:pPr>
          </w:p>
        </w:tc>
        <w:tc>
          <w:tcPr>
            <w:tcW w:w="1729" w:type="dxa"/>
            <w:vMerge/>
            <w:tcBorders>
              <w:top w:val="single" w:sz="4" w:space="0" w:color="auto"/>
              <w:left w:val="single" w:sz="4" w:space="0" w:color="auto"/>
              <w:bottom w:val="single" w:sz="4" w:space="0" w:color="auto"/>
              <w:right w:val="single" w:sz="4" w:space="0" w:color="auto"/>
            </w:tcBorders>
            <w:vAlign w:val="center"/>
          </w:tcPr>
          <w:p w:rsidR="00412139" w:rsidP="00634720">
            <w:pPr>
              <w:widowControl/>
              <w:jc w:val="left"/>
              <w:rPr>
                <w:rFonts w:ascii="宋体" w:hAnsi="宋体"/>
                <w:b/>
                <w:szCs w:val="21"/>
              </w:rPr>
            </w:pPr>
          </w:p>
        </w:tc>
        <w:tc>
          <w:tcPr>
            <w:tcW w:w="2149" w:type="dxa"/>
            <w:tcBorders>
              <w:top w:val="single" w:sz="4" w:space="0" w:color="auto"/>
              <w:left w:val="single" w:sz="4" w:space="0" w:color="auto"/>
              <w:bottom w:val="single" w:sz="4" w:space="0" w:color="auto"/>
              <w:right w:val="single" w:sz="4" w:space="0" w:color="auto"/>
            </w:tcBorders>
            <w:shd w:val="clear" w:color="auto" w:fill="D9D9D9"/>
            <w:vAlign w:val="center"/>
          </w:tcPr>
          <w:p w:rsidR="00412139" w:rsidP="00634720">
            <w:pPr>
              <w:jc w:val="center"/>
              <w:rPr>
                <w:rFonts w:ascii="宋体" w:hAnsi="宋体"/>
                <w:b/>
                <w:szCs w:val="21"/>
              </w:rPr>
            </w:pPr>
            <w:r>
              <w:rPr>
                <w:rFonts w:ascii="宋体" w:hAnsi="宋体" w:hint="eastAsia"/>
                <w:b/>
                <w:szCs w:val="21"/>
              </w:rPr>
              <w:t>资产余额</w:t>
            </w:r>
          </w:p>
          <w:p w:rsidR="00412139" w:rsidP="00634720">
            <w:pPr>
              <w:jc w:val="center"/>
              <w:rPr>
                <w:rFonts w:ascii="宋体" w:hAnsi="宋体"/>
                <w:b/>
                <w:szCs w:val="21"/>
              </w:rPr>
            </w:pPr>
            <w:r>
              <w:rPr>
                <w:rFonts w:ascii="宋体" w:hAnsi="宋体" w:hint="eastAsia"/>
                <w:b/>
                <w:szCs w:val="21"/>
              </w:rPr>
              <w:t>（单位：</w:t>
            </w:r>
            <w:r>
              <w:rPr>
                <w:rFonts w:ascii="宋体" w:eastAsia="宋体" w:hAnsi="宋体" w:cs="宋体"/>
                <w:b/>
                <w:i w:val="0"/>
                <w:color w:val="000000"/>
                <w:position w:val="-1"/>
                <w:u w:val="none"/>
              </w:rPr>
              <w:t>元</w:t>
            </w:r>
            <w:r>
              <w:rPr>
                <w:rFonts w:ascii="宋体" w:hAnsi="宋体" w:hint="eastAsia"/>
                <w:b/>
                <w:szCs w:val="21"/>
              </w:rPr>
              <w:t>）</w:t>
            </w:r>
          </w:p>
        </w:tc>
        <w:tc>
          <w:tcPr>
            <w:tcW w:w="1417" w:type="dxa"/>
            <w:tcBorders>
              <w:top w:val="single" w:sz="4" w:space="0" w:color="auto"/>
              <w:left w:val="single" w:sz="4" w:space="0" w:color="auto"/>
              <w:bottom w:val="single" w:sz="4" w:space="0" w:color="auto"/>
              <w:right w:val="single" w:sz="4" w:space="0" w:color="auto"/>
            </w:tcBorders>
            <w:shd w:val="clear" w:color="auto" w:fill="D9D9D9"/>
            <w:vAlign w:val="center"/>
          </w:tcPr>
          <w:p w:rsidR="00412139" w:rsidP="00634720">
            <w:pPr>
              <w:jc w:val="center"/>
              <w:rPr>
                <w:rFonts w:ascii="宋体" w:hAnsi="宋体"/>
                <w:b/>
                <w:szCs w:val="21"/>
              </w:rPr>
            </w:pPr>
            <w:r>
              <w:rPr>
                <w:rFonts w:ascii="宋体" w:hAnsi="宋体" w:hint="eastAsia"/>
                <w:b/>
                <w:szCs w:val="21"/>
              </w:rPr>
              <w:t>占产品总资产的比例（%）</w:t>
            </w:r>
          </w:p>
        </w:tc>
        <w:tc>
          <w:tcPr>
            <w:tcW w:w="2149" w:type="dxa"/>
            <w:tcBorders>
              <w:top w:val="single" w:sz="4" w:space="0" w:color="auto"/>
              <w:left w:val="single" w:sz="4" w:space="0" w:color="auto"/>
              <w:bottom w:val="single" w:sz="4" w:space="0" w:color="auto"/>
              <w:right w:val="single" w:sz="4" w:space="0" w:color="auto"/>
            </w:tcBorders>
            <w:shd w:val="clear" w:color="auto" w:fill="D9D9D9"/>
            <w:vAlign w:val="center"/>
          </w:tcPr>
          <w:p w:rsidR="00412139" w:rsidP="00C16DF6">
            <w:pPr>
              <w:jc w:val="center"/>
              <w:rPr>
                <w:rFonts w:ascii="宋体" w:hAnsi="宋体"/>
                <w:b/>
                <w:szCs w:val="21"/>
              </w:rPr>
            </w:pPr>
            <w:r>
              <w:rPr>
                <w:rFonts w:ascii="宋体" w:hAnsi="宋体" w:hint="eastAsia"/>
                <w:b/>
                <w:szCs w:val="21"/>
              </w:rPr>
              <w:t>资产余额</w:t>
            </w:r>
          </w:p>
          <w:p w:rsidR="00412139" w:rsidP="00C16DF6">
            <w:pPr>
              <w:jc w:val="center"/>
              <w:rPr>
                <w:rFonts w:ascii="宋体" w:hAnsi="宋体"/>
                <w:b/>
                <w:szCs w:val="21"/>
              </w:rPr>
            </w:pPr>
            <w:r>
              <w:rPr>
                <w:rFonts w:ascii="宋体" w:hAnsi="宋体" w:hint="eastAsia"/>
                <w:b/>
                <w:szCs w:val="21"/>
              </w:rPr>
              <w:t>（单位：</w:t>
            </w:r>
            <w:r>
              <w:rPr>
                <w:rFonts w:ascii="宋体" w:eastAsia="宋体" w:hAnsi="宋体" w:cs="宋体"/>
                <w:b/>
                <w:i w:val="0"/>
                <w:color w:val="000000"/>
                <w:position w:val="-1"/>
                <w:u w:val="none"/>
              </w:rPr>
              <w:t>元</w:t>
            </w:r>
            <w:r>
              <w:rPr>
                <w:rFonts w:ascii="宋体" w:hAnsi="宋体" w:hint="eastAsia"/>
                <w:b/>
                <w:szCs w:val="21"/>
              </w:rPr>
              <w:t>）</w:t>
            </w:r>
          </w:p>
        </w:tc>
        <w:tc>
          <w:tcPr>
            <w:tcW w:w="1417" w:type="dxa"/>
            <w:tcBorders>
              <w:top w:val="single" w:sz="4" w:space="0" w:color="auto"/>
              <w:left w:val="single" w:sz="4" w:space="0" w:color="auto"/>
              <w:bottom w:val="single" w:sz="4" w:space="0" w:color="auto"/>
              <w:right w:val="single" w:sz="4" w:space="0" w:color="auto"/>
            </w:tcBorders>
            <w:shd w:val="clear" w:color="auto" w:fill="D9D9D9"/>
            <w:vAlign w:val="center"/>
          </w:tcPr>
          <w:p w:rsidR="00412139" w:rsidP="00634720">
            <w:pPr>
              <w:jc w:val="center"/>
              <w:rPr>
                <w:rFonts w:ascii="宋体" w:hAnsi="宋体"/>
                <w:b/>
                <w:szCs w:val="21"/>
              </w:rPr>
            </w:pPr>
            <w:r>
              <w:rPr>
                <w:rFonts w:ascii="宋体" w:hAnsi="宋体" w:hint="eastAsia"/>
                <w:b/>
                <w:szCs w:val="21"/>
              </w:rPr>
              <w:t>占产品总资产的比例（%）</w:t>
            </w:r>
          </w:p>
        </w:tc>
      </w:tr>
      <w:tr w:rsidTr="00634720">
        <w:tblPrEx>
          <w:tblW w:w="9330" w:type="dxa"/>
          <w:tblInd w:w="-7" w:type="dxa"/>
          <w:tblLayout w:type="fixed"/>
          <w:tblLook w:val="04A0"/>
        </w:tblPrEx>
        <w:tc>
          <w:tcPr>
            <w:tcW w:w="46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szCs w:val="21"/>
              </w:rPr>
            </w:pPr>
            <w:r>
              <w:rPr>
                <w:rFonts w:ascii="宋体" w:hAnsi="宋体"/>
                <w:szCs w:val="21"/>
              </w:rPr>
              <w:t>1</w:t>
            </w:r>
          </w:p>
        </w:tc>
        <w:tc>
          <w:tcPr>
            <w:tcW w:w="1729" w:type="dxa"/>
            <w:tcBorders>
              <w:top w:val="single" w:sz="4" w:space="0" w:color="auto"/>
              <w:left w:val="single" w:sz="4" w:space="0" w:color="auto"/>
              <w:bottom w:val="single" w:sz="4" w:space="0" w:color="auto"/>
              <w:right w:val="single" w:sz="4" w:space="0" w:color="auto"/>
            </w:tcBorders>
            <w:vAlign w:val="center"/>
          </w:tcPr>
          <w:p w:rsidR="00412139" w:rsidP="00634720">
            <w:pPr>
              <w:spacing w:line="360" w:lineRule="auto"/>
              <w:jc w:val="center"/>
              <w:rPr>
                <w:rFonts w:ascii="宋体" w:hAnsi="宋体"/>
                <w:szCs w:val="21"/>
              </w:rPr>
            </w:pPr>
            <w:r>
              <w:rPr>
                <w:rFonts w:ascii="宋体" w:hAnsi="宋体" w:hint="eastAsia"/>
                <w:szCs w:val="21"/>
              </w:rPr>
              <w:t>现金及银行存款</w:t>
            </w:r>
          </w:p>
        </w:tc>
        <w:tc>
          <w:tcPr>
            <w:tcW w:w="214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1,134,388.99</w:t>
            </w:r>
          </w:p>
        </w:tc>
        <w:tc>
          <w:tcPr>
            <w:tcW w:w="1417"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0.03</w:t>
            </w:r>
          </w:p>
        </w:tc>
        <w:tc>
          <w:tcPr>
            <w:tcW w:w="214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1,362,265,929.18</w:t>
            </w:r>
          </w:p>
        </w:tc>
        <w:tc>
          <w:tcPr>
            <w:tcW w:w="1417"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39.95</w:t>
            </w:r>
          </w:p>
        </w:tc>
      </w:tr>
      <w:tr w:rsidTr="00634720">
        <w:tblPrEx>
          <w:tblW w:w="9330" w:type="dxa"/>
          <w:tblInd w:w="-7" w:type="dxa"/>
          <w:tblLayout w:type="fixed"/>
          <w:tblLook w:val="04A0"/>
        </w:tblPrEx>
        <w:tc>
          <w:tcPr>
            <w:tcW w:w="46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szCs w:val="21"/>
              </w:rPr>
            </w:pPr>
            <w:r>
              <w:rPr>
                <w:rFonts w:ascii="宋体" w:hAnsi="宋体" w:hint="eastAsia"/>
                <w:szCs w:val="21"/>
              </w:rPr>
              <w:t>2</w:t>
            </w:r>
          </w:p>
        </w:tc>
        <w:tc>
          <w:tcPr>
            <w:tcW w:w="1729" w:type="dxa"/>
            <w:tcBorders>
              <w:top w:val="single" w:sz="4" w:space="0" w:color="auto"/>
              <w:left w:val="single" w:sz="4" w:space="0" w:color="auto"/>
              <w:bottom w:val="single" w:sz="4" w:space="0" w:color="auto"/>
              <w:right w:val="single" w:sz="4" w:space="0" w:color="auto"/>
            </w:tcBorders>
            <w:vAlign w:val="center"/>
          </w:tcPr>
          <w:p w:rsidR="00412139" w:rsidP="00634720">
            <w:pPr>
              <w:spacing w:line="360" w:lineRule="auto"/>
              <w:jc w:val="center"/>
              <w:rPr>
                <w:rFonts w:ascii="宋体" w:hAnsi="宋体"/>
                <w:szCs w:val="21"/>
              </w:rPr>
            </w:pPr>
            <w:r>
              <w:rPr>
                <w:rFonts w:ascii="宋体" w:hAnsi="宋体" w:hint="eastAsia"/>
                <w:szCs w:val="21"/>
              </w:rPr>
              <w:t>同业存单</w:t>
            </w:r>
          </w:p>
        </w:tc>
        <w:tc>
          <w:tcPr>
            <w:tcW w:w="214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1,384,818.06</w:t>
            </w:r>
          </w:p>
        </w:tc>
        <w:tc>
          <w:tcPr>
            <w:tcW w:w="1417"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0.04</w:t>
            </w:r>
          </w:p>
        </w:tc>
        <w:tc>
          <w:tcPr>
            <w:tcW w:w="214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190,326,101.84</w:t>
            </w:r>
          </w:p>
        </w:tc>
        <w:tc>
          <w:tcPr>
            <w:tcW w:w="1417"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5.58</w:t>
            </w:r>
          </w:p>
        </w:tc>
      </w:tr>
      <w:tr w:rsidTr="00634720">
        <w:tblPrEx>
          <w:tblW w:w="9330" w:type="dxa"/>
          <w:tblInd w:w="-7" w:type="dxa"/>
          <w:tblLayout w:type="fixed"/>
          <w:tblLook w:val="04A0"/>
        </w:tblPrEx>
        <w:tc>
          <w:tcPr>
            <w:tcW w:w="46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szCs w:val="21"/>
              </w:rPr>
            </w:pPr>
            <w:r>
              <w:rPr>
                <w:rFonts w:ascii="宋体" w:hAnsi="宋体" w:hint="eastAsia"/>
                <w:szCs w:val="21"/>
              </w:rPr>
              <w:t>3</w:t>
            </w:r>
          </w:p>
        </w:tc>
        <w:tc>
          <w:tcPr>
            <w:tcW w:w="1729" w:type="dxa"/>
            <w:tcBorders>
              <w:top w:val="single" w:sz="4" w:space="0" w:color="auto"/>
              <w:left w:val="single" w:sz="4" w:space="0" w:color="auto"/>
              <w:bottom w:val="single" w:sz="4" w:space="0" w:color="auto"/>
              <w:right w:val="single" w:sz="4" w:space="0" w:color="auto"/>
            </w:tcBorders>
            <w:vAlign w:val="center"/>
          </w:tcPr>
          <w:p w:rsidR="00412139" w:rsidP="00634720">
            <w:pPr>
              <w:spacing w:line="360" w:lineRule="auto"/>
              <w:jc w:val="center"/>
              <w:rPr>
                <w:rFonts w:ascii="宋体" w:hAnsi="宋体"/>
                <w:szCs w:val="21"/>
              </w:rPr>
            </w:pPr>
            <w:r>
              <w:rPr>
                <w:rFonts w:ascii="宋体" w:hAnsi="宋体" w:hint="eastAsia"/>
                <w:szCs w:val="21"/>
              </w:rPr>
              <w:t>拆放同业及债券买入返售</w:t>
            </w:r>
          </w:p>
        </w:tc>
        <w:tc>
          <w:tcPr>
            <w:tcW w:w="214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220,019,213.91</w:t>
            </w:r>
          </w:p>
        </w:tc>
        <w:tc>
          <w:tcPr>
            <w:tcW w:w="1417"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6.45</w:t>
            </w:r>
          </w:p>
        </w:tc>
        <w:tc>
          <w:tcPr>
            <w:tcW w:w="214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281,314,480.11</w:t>
            </w:r>
          </w:p>
        </w:tc>
        <w:tc>
          <w:tcPr>
            <w:tcW w:w="1417"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8.25</w:t>
            </w:r>
          </w:p>
        </w:tc>
      </w:tr>
      <w:tr w:rsidTr="00634720">
        <w:tblPrEx>
          <w:tblW w:w="9330" w:type="dxa"/>
          <w:tblInd w:w="-7" w:type="dxa"/>
          <w:tblLayout w:type="fixed"/>
          <w:tblLook w:val="04A0"/>
        </w:tblPrEx>
        <w:tc>
          <w:tcPr>
            <w:tcW w:w="46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szCs w:val="21"/>
              </w:rPr>
            </w:pPr>
            <w:r>
              <w:rPr>
                <w:rFonts w:ascii="宋体" w:hAnsi="宋体" w:hint="eastAsia"/>
                <w:szCs w:val="21"/>
              </w:rPr>
              <w:t>4</w:t>
            </w:r>
          </w:p>
        </w:tc>
        <w:tc>
          <w:tcPr>
            <w:tcW w:w="1729" w:type="dxa"/>
            <w:tcBorders>
              <w:top w:val="single" w:sz="4" w:space="0" w:color="auto"/>
              <w:left w:val="single" w:sz="4" w:space="0" w:color="auto"/>
              <w:bottom w:val="single" w:sz="4" w:space="0" w:color="auto"/>
              <w:right w:val="single" w:sz="4" w:space="0" w:color="auto"/>
            </w:tcBorders>
            <w:vAlign w:val="center"/>
          </w:tcPr>
          <w:p w:rsidR="00412139" w:rsidP="00634720">
            <w:pPr>
              <w:spacing w:line="360" w:lineRule="auto"/>
              <w:jc w:val="center"/>
              <w:rPr>
                <w:rFonts w:ascii="宋体" w:hAnsi="宋体"/>
                <w:szCs w:val="21"/>
              </w:rPr>
            </w:pPr>
            <w:r>
              <w:rPr>
                <w:rFonts w:ascii="宋体" w:hAnsi="宋体" w:hint="eastAsia"/>
                <w:szCs w:val="21"/>
              </w:rPr>
              <w:t>债券</w:t>
            </w:r>
          </w:p>
        </w:tc>
        <w:tc>
          <w:tcPr>
            <w:tcW w:w="214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1,415,509,560.73</w:t>
            </w:r>
          </w:p>
        </w:tc>
        <w:tc>
          <w:tcPr>
            <w:tcW w:w="1417"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41.52</w:t>
            </w:r>
          </w:p>
        </w:tc>
        <w:tc>
          <w:tcPr>
            <w:tcW w:w="214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1,573,718,120.48</w:t>
            </w:r>
          </w:p>
        </w:tc>
        <w:tc>
          <w:tcPr>
            <w:tcW w:w="1417"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46.15</w:t>
            </w:r>
          </w:p>
        </w:tc>
      </w:tr>
      <w:tr w:rsidTr="00634720">
        <w:tblPrEx>
          <w:tblW w:w="9330" w:type="dxa"/>
          <w:tblInd w:w="-7" w:type="dxa"/>
          <w:tblLayout w:type="fixed"/>
          <w:tblLook w:val="04A0"/>
        </w:tblPrEx>
        <w:tc>
          <w:tcPr>
            <w:tcW w:w="46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szCs w:val="21"/>
              </w:rPr>
            </w:pPr>
            <w:r>
              <w:rPr>
                <w:rFonts w:ascii="宋体" w:hAnsi="宋体" w:hint="eastAsia"/>
                <w:szCs w:val="21"/>
              </w:rPr>
              <w:t>5</w:t>
            </w:r>
          </w:p>
        </w:tc>
        <w:tc>
          <w:tcPr>
            <w:tcW w:w="1729" w:type="dxa"/>
            <w:tcBorders>
              <w:top w:val="single" w:sz="4" w:space="0" w:color="auto"/>
              <w:left w:val="single" w:sz="4" w:space="0" w:color="auto"/>
              <w:bottom w:val="single" w:sz="4" w:space="0" w:color="auto"/>
              <w:right w:val="single" w:sz="4" w:space="0" w:color="auto"/>
            </w:tcBorders>
            <w:vAlign w:val="center"/>
          </w:tcPr>
          <w:p w:rsidR="00412139" w:rsidP="00634720">
            <w:pPr>
              <w:spacing w:line="360" w:lineRule="auto"/>
              <w:jc w:val="center"/>
              <w:rPr>
                <w:rFonts w:ascii="宋体" w:hAnsi="宋体"/>
                <w:szCs w:val="21"/>
              </w:rPr>
            </w:pPr>
            <w:r>
              <w:rPr>
                <w:rFonts w:ascii="宋体" w:hAnsi="宋体" w:hint="eastAsia"/>
                <w:szCs w:val="21"/>
              </w:rPr>
              <w:t>非标准化债权类资产</w:t>
            </w:r>
          </w:p>
        </w:tc>
        <w:tc>
          <w:tcPr>
            <w:tcW w:w="214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0.00</w:t>
            </w:r>
          </w:p>
        </w:tc>
        <w:tc>
          <w:tcPr>
            <w:tcW w:w="1417"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0.00</w:t>
            </w:r>
          </w:p>
        </w:tc>
        <w:tc>
          <w:tcPr>
            <w:tcW w:w="214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0.00</w:t>
            </w:r>
          </w:p>
        </w:tc>
        <w:tc>
          <w:tcPr>
            <w:tcW w:w="1417"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0.00</w:t>
            </w:r>
          </w:p>
        </w:tc>
      </w:tr>
      <w:tr w:rsidTr="00634720">
        <w:tblPrEx>
          <w:tblW w:w="9330" w:type="dxa"/>
          <w:tblInd w:w="-7" w:type="dxa"/>
          <w:tblLayout w:type="fixed"/>
          <w:tblLook w:val="04A0"/>
        </w:tblPrEx>
        <w:tc>
          <w:tcPr>
            <w:tcW w:w="46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szCs w:val="21"/>
              </w:rPr>
            </w:pPr>
            <w:r>
              <w:rPr>
                <w:rFonts w:ascii="宋体" w:hAnsi="宋体" w:hint="eastAsia"/>
                <w:szCs w:val="21"/>
              </w:rPr>
              <w:t>6</w:t>
            </w:r>
          </w:p>
        </w:tc>
        <w:tc>
          <w:tcPr>
            <w:tcW w:w="1729" w:type="dxa"/>
            <w:tcBorders>
              <w:top w:val="single" w:sz="4" w:space="0" w:color="auto"/>
              <w:left w:val="single" w:sz="4" w:space="0" w:color="auto"/>
              <w:bottom w:val="single" w:sz="4" w:space="0" w:color="auto"/>
              <w:right w:val="single" w:sz="4" w:space="0" w:color="auto"/>
            </w:tcBorders>
            <w:vAlign w:val="center"/>
          </w:tcPr>
          <w:p w:rsidR="00412139" w:rsidP="00634720">
            <w:pPr>
              <w:spacing w:line="360" w:lineRule="auto"/>
              <w:jc w:val="center"/>
              <w:rPr>
                <w:rFonts w:ascii="宋体" w:hAnsi="宋体"/>
                <w:szCs w:val="21"/>
              </w:rPr>
            </w:pPr>
            <w:r>
              <w:rPr>
                <w:rFonts w:ascii="宋体" w:hAnsi="宋体" w:hint="eastAsia"/>
                <w:szCs w:val="21"/>
              </w:rPr>
              <w:t>权益类投资</w:t>
            </w:r>
          </w:p>
        </w:tc>
        <w:tc>
          <w:tcPr>
            <w:tcW w:w="214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0.00</w:t>
            </w:r>
          </w:p>
        </w:tc>
        <w:tc>
          <w:tcPr>
            <w:tcW w:w="1417"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0.00</w:t>
            </w:r>
          </w:p>
        </w:tc>
        <w:tc>
          <w:tcPr>
            <w:tcW w:w="214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859,673.23</w:t>
            </w:r>
          </w:p>
        </w:tc>
        <w:tc>
          <w:tcPr>
            <w:tcW w:w="1417"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0.03</w:t>
            </w:r>
          </w:p>
        </w:tc>
      </w:tr>
      <w:tr w:rsidTr="00634720">
        <w:tblPrEx>
          <w:tblW w:w="9330" w:type="dxa"/>
          <w:tblInd w:w="-7" w:type="dxa"/>
          <w:tblLayout w:type="fixed"/>
          <w:tblLook w:val="04A0"/>
        </w:tblPrEx>
        <w:tc>
          <w:tcPr>
            <w:tcW w:w="46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szCs w:val="21"/>
              </w:rPr>
            </w:pPr>
            <w:r>
              <w:rPr>
                <w:rFonts w:ascii="宋体" w:hAnsi="宋体" w:hint="eastAsia"/>
                <w:szCs w:val="21"/>
              </w:rPr>
              <w:t>7</w:t>
            </w:r>
          </w:p>
        </w:tc>
        <w:tc>
          <w:tcPr>
            <w:tcW w:w="1729" w:type="dxa"/>
            <w:tcBorders>
              <w:top w:val="single" w:sz="4" w:space="0" w:color="auto"/>
              <w:left w:val="single" w:sz="4" w:space="0" w:color="auto"/>
              <w:bottom w:val="single" w:sz="4" w:space="0" w:color="auto"/>
              <w:right w:val="single" w:sz="4" w:space="0" w:color="auto"/>
            </w:tcBorders>
            <w:vAlign w:val="center"/>
          </w:tcPr>
          <w:p w:rsidR="00412139" w:rsidP="00634720">
            <w:pPr>
              <w:spacing w:line="360" w:lineRule="auto"/>
              <w:jc w:val="center"/>
              <w:rPr>
                <w:rFonts w:ascii="宋体" w:hAnsi="宋体"/>
                <w:szCs w:val="21"/>
              </w:rPr>
            </w:pPr>
            <w:r>
              <w:rPr>
                <w:rFonts w:ascii="宋体" w:hAnsi="宋体" w:hint="eastAsia"/>
                <w:szCs w:val="21"/>
              </w:rPr>
              <w:t>金融衍生品</w:t>
            </w:r>
          </w:p>
        </w:tc>
        <w:tc>
          <w:tcPr>
            <w:tcW w:w="214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0.00</w:t>
            </w:r>
          </w:p>
        </w:tc>
        <w:tc>
          <w:tcPr>
            <w:tcW w:w="1417"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0.00</w:t>
            </w:r>
          </w:p>
        </w:tc>
        <w:tc>
          <w:tcPr>
            <w:tcW w:w="214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0.00</w:t>
            </w:r>
          </w:p>
        </w:tc>
        <w:tc>
          <w:tcPr>
            <w:tcW w:w="1417"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0.00</w:t>
            </w:r>
          </w:p>
        </w:tc>
      </w:tr>
      <w:tr w:rsidTr="00634720">
        <w:tblPrEx>
          <w:tblW w:w="9330" w:type="dxa"/>
          <w:tblInd w:w="-7" w:type="dxa"/>
          <w:tblLayout w:type="fixed"/>
          <w:tblLook w:val="04A0"/>
        </w:tblPrEx>
        <w:tc>
          <w:tcPr>
            <w:tcW w:w="46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szCs w:val="21"/>
              </w:rPr>
            </w:pPr>
            <w:r>
              <w:rPr>
                <w:rFonts w:ascii="宋体" w:hAnsi="宋体" w:hint="eastAsia"/>
                <w:szCs w:val="21"/>
              </w:rPr>
              <w:t>8</w:t>
            </w:r>
          </w:p>
        </w:tc>
        <w:tc>
          <w:tcPr>
            <w:tcW w:w="1729" w:type="dxa"/>
            <w:tcBorders>
              <w:top w:val="single" w:sz="4" w:space="0" w:color="auto"/>
              <w:left w:val="single" w:sz="4" w:space="0" w:color="auto"/>
              <w:bottom w:val="single" w:sz="4" w:space="0" w:color="auto"/>
              <w:right w:val="single" w:sz="4" w:space="0" w:color="auto"/>
            </w:tcBorders>
            <w:vAlign w:val="center"/>
          </w:tcPr>
          <w:p w:rsidR="00412139" w:rsidP="00634720">
            <w:pPr>
              <w:spacing w:line="360" w:lineRule="auto"/>
              <w:jc w:val="center"/>
              <w:rPr>
                <w:rFonts w:ascii="宋体" w:hAnsi="宋体"/>
                <w:szCs w:val="21"/>
              </w:rPr>
            </w:pPr>
            <w:r>
              <w:rPr>
                <w:rFonts w:ascii="宋体" w:hAnsi="宋体" w:hint="eastAsia"/>
                <w:szCs w:val="21"/>
              </w:rPr>
              <w:t>代客境外理财投资QDII</w:t>
            </w:r>
          </w:p>
        </w:tc>
        <w:tc>
          <w:tcPr>
            <w:tcW w:w="214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0.00</w:t>
            </w:r>
          </w:p>
        </w:tc>
        <w:tc>
          <w:tcPr>
            <w:tcW w:w="1417"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0.00</w:t>
            </w:r>
          </w:p>
        </w:tc>
        <w:tc>
          <w:tcPr>
            <w:tcW w:w="214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0.00</w:t>
            </w:r>
          </w:p>
        </w:tc>
        <w:tc>
          <w:tcPr>
            <w:tcW w:w="1417"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0.00</w:t>
            </w:r>
          </w:p>
        </w:tc>
      </w:tr>
      <w:tr w:rsidTr="00634720">
        <w:tblPrEx>
          <w:tblW w:w="9330" w:type="dxa"/>
          <w:tblInd w:w="-7" w:type="dxa"/>
          <w:tblLayout w:type="fixed"/>
          <w:tblLook w:val="04A0"/>
        </w:tblPrEx>
        <w:tc>
          <w:tcPr>
            <w:tcW w:w="46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szCs w:val="21"/>
              </w:rPr>
            </w:pPr>
            <w:r>
              <w:rPr>
                <w:rFonts w:ascii="宋体" w:hAnsi="宋体" w:hint="eastAsia"/>
                <w:szCs w:val="21"/>
              </w:rPr>
              <w:t>9</w:t>
            </w:r>
          </w:p>
        </w:tc>
        <w:tc>
          <w:tcPr>
            <w:tcW w:w="1729" w:type="dxa"/>
            <w:tcBorders>
              <w:top w:val="single" w:sz="4" w:space="0" w:color="auto"/>
              <w:left w:val="single" w:sz="4" w:space="0" w:color="auto"/>
              <w:bottom w:val="single" w:sz="4" w:space="0" w:color="auto"/>
              <w:right w:val="single" w:sz="4" w:space="0" w:color="auto"/>
            </w:tcBorders>
            <w:vAlign w:val="center"/>
          </w:tcPr>
          <w:p w:rsidR="00412139" w:rsidP="00634720">
            <w:pPr>
              <w:spacing w:line="360" w:lineRule="auto"/>
              <w:jc w:val="center"/>
              <w:rPr>
                <w:rFonts w:ascii="宋体" w:hAnsi="宋体"/>
                <w:szCs w:val="21"/>
              </w:rPr>
            </w:pPr>
            <w:r>
              <w:rPr>
                <w:rFonts w:ascii="宋体" w:hAnsi="宋体" w:hint="eastAsia"/>
                <w:szCs w:val="21"/>
              </w:rPr>
              <w:t>商品类资产</w:t>
            </w:r>
          </w:p>
        </w:tc>
        <w:tc>
          <w:tcPr>
            <w:tcW w:w="214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0.00</w:t>
            </w:r>
          </w:p>
        </w:tc>
        <w:tc>
          <w:tcPr>
            <w:tcW w:w="1417"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0.00</w:t>
            </w:r>
          </w:p>
        </w:tc>
        <w:tc>
          <w:tcPr>
            <w:tcW w:w="214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0.00</w:t>
            </w:r>
          </w:p>
        </w:tc>
        <w:tc>
          <w:tcPr>
            <w:tcW w:w="1417"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0.00</w:t>
            </w:r>
          </w:p>
        </w:tc>
      </w:tr>
      <w:tr w:rsidTr="00634720">
        <w:tblPrEx>
          <w:tblW w:w="9330" w:type="dxa"/>
          <w:tblInd w:w="-7" w:type="dxa"/>
          <w:tblLayout w:type="fixed"/>
          <w:tblLook w:val="04A0"/>
        </w:tblPrEx>
        <w:tc>
          <w:tcPr>
            <w:tcW w:w="46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szCs w:val="21"/>
              </w:rPr>
            </w:pPr>
            <w:r>
              <w:rPr>
                <w:rFonts w:ascii="宋体" w:hAnsi="宋体" w:hint="eastAsia"/>
                <w:szCs w:val="21"/>
              </w:rPr>
              <w:t>1</w:t>
            </w:r>
            <w:r>
              <w:rPr>
                <w:rFonts w:ascii="宋体" w:hAnsi="宋体"/>
                <w:szCs w:val="21"/>
              </w:rPr>
              <w:t>0</w:t>
            </w:r>
          </w:p>
        </w:tc>
        <w:tc>
          <w:tcPr>
            <w:tcW w:w="1729" w:type="dxa"/>
            <w:tcBorders>
              <w:top w:val="single" w:sz="4" w:space="0" w:color="auto"/>
              <w:left w:val="single" w:sz="4" w:space="0" w:color="auto"/>
              <w:bottom w:val="single" w:sz="4" w:space="0" w:color="auto"/>
              <w:right w:val="single" w:sz="4" w:space="0" w:color="auto"/>
            </w:tcBorders>
            <w:vAlign w:val="center"/>
          </w:tcPr>
          <w:p w:rsidR="00412139" w:rsidP="00634720">
            <w:pPr>
              <w:spacing w:line="360" w:lineRule="auto"/>
              <w:jc w:val="center"/>
              <w:rPr>
                <w:rFonts w:ascii="宋体" w:hAnsi="宋体"/>
                <w:szCs w:val="21"/>
              </w:rPr>
            </w:pPr>
            <w:r>
              <w:rPr>
                <w:rFonts w:ascii="宋体" w:hAnsi="宋体" w:hint="eastAsia"/>
                <w:szCs w:val="21"/>
              </w:rPr>
              <w:t>另类资产</w:t>
            </w:r>
          </w:p>
        </w:tc>
        <w:tc>
          <w:tcPr>
            <w:tcW w:w="214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0.00</w:t>
            </w:r>
          </w:p>
        </w:tc>
        <w:tc>
          <w:tcPr>
            <w:tcW w:w="1417"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0.00</w:t>
            </w:r>
          </w:p>
        </w:tc>
        <w:tc>
          <w:tcPr>
            <w:tcW w:w="214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0.00</w:t>
            </w:r>
          </w:p>
        </w:tc>
        <w:tc>
          <w:tcPr>
            <w:tcW w:w="1417"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0.00</w:t>
            </w:r>
          </w:p>
        </w:tc>
      </w:tr>
      <w:tr w:rsidTr="00634720">
        <w:tblPrEx>
          <w:tblW w:w="9330" w:type="dxa"/>
          <w:tblInd w:w="-7" w:type="dxa"/>
          <w:tblLayout w:type="fixed"/>
          <w:tblLook w:val="04A0"/>
        </w:tblPrEx>
        <w:tc>
          <w:tcPr>
            <w:tcW w:w="46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szCs w:val="21"/>
              </w:rPr>
            </w:pPr>
            <w:r>
              <w:rPr>
                <w:rFonts w:ascii="宋体" w:hAnsi="宋体" w:hint="eastAsia"/>
                <w:szCs w:val="21"/>
              </w:rPr>
              <w:t>1</w:t>
            </w:r>
            <w:r>
              <w:rPr>
                <w:rFonts w:ascii="宋体" w:hAnsi="宋体"/>
                <w:szCs w:val="21"/>
              </w:rPr>
              <w:t>1</w:t>
            </w:r>
          </w:p>
        </w:tc>
        <w:tc>
          <w:tcPr>
            <w:tcW w:w="1729" w:type="dxa"/>
            <w:tcBorders>
              <w:top w:val="single" w:sz="4" w:space="0" w:color="auto"/>
              <w:left w:val="single" w:sz="4" w:space="0" w:color="auto"/>
              <w:bottom w:val="single" w:sz="4" w:space="0" w:color="auto"/>
              <w:right w:val="single" w:sz="4" w:space="0" w:color="auto"/>
            </w:tcBorders>
            <w:vAlign w:val="center"/>
          </w:tcPr>
          <w:p w:rsidR="00412139" w:rsidP="00634720">
            <w:pPr>
              <w:spacing w:line="360" w:lineRule="auto"/>
              <w:jc w:val="center"/>
              <w:rPr>
                <w:rFonts w:ascii="宋体" w:hAnsi="宋体"/>
                <w:szCs w:val="21"/>
              </w:rPr>
            </w:pPr>
            <w:r>
              <w:rPr>
                <w:rFonts w:ascii="宋体" w:hAnsi="宋体" w:hint="eastAsia"/>
                <w:szCs w:val="21"/>
              </w:rPr>
              <w:t>公募基金</w:t>
            </w:r>
          </w:p>
        </w:tc>
        <w:tc>
          <w:tcPr>
            <w:tcW w:w="214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0.00</w:t>
            </w:r>
          </w:p>
        </w:tc>
        <w:tc>
          <w:tcPr>
            <w:tcW w:w="1417"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0.00</w:t>
            </w:r>
          </w:p>
        </w:tc>
        <w:tc>
          <w:tcPr>
            <w:tcW w:w="214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1,374,002.80</w:t>
            </w:r>
          </w:p>
        </w:tc>
        <w:tc>
          <w:tcPr>
            <w:tcW w:w="1417"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0.04</w:t>
            </w:r>
          </w:p>
        </w:tc>
      </w:tr>
      <w:tr w:rsidTr="00634720">
        <w:tblPrEx>
          <w:tblW w:w="9330" w:type="dxa"/>
          <w:tblInd w:w="-7" w:type="dxa"/>
          <w:tblLayout w:type="fixed"/>
          <w:tblLook w:val="04A0"/>
        </w:tblPrEx>
        <w:tc>
          <w:tcPr>
            <w:tcW w:w="46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szCs w:val="21"/>
              </w:rPr>
            </w:pPr>
            <w:r>
              <w:rPr>
                <w:rFonts w:ascii="宋体" w:hAnsi="宋体" w:hint="eastAsia"/>
                <w:szCs w:val="21"/>
              </w:rPr>
              <w:t>1</w:t>
            </w:r>
            <w:r>
              <w:rPr>
                <w:rFonts w:ascii="宋体" w:hAnsi="宋体"/>
                <w:szCs w:val="21"/>
              </w:rPr>
              <w:t>2</w:t>
            </w:r>
          </w:p>
        </w:tc>
        <w:tc>
          <w:tcPr>
            <w:tcW w:w="1729" w:type="dxa"/>
            <w:tcBorders>
              <w:top w:val="single" w:sz="4" w:space="0" w:color="auto"/>
              <w:left w:val="single" w:sz="4" w:space="0" w:color="auto"/>
              <w:bottom w:val="single" w:sz="4" w:space="0" w:color="auto"/>
              <w:right w:val="single" w:sz="4" w:space="0" w:color="auto"/>
            </w:tcBorders>
            <w:vAlign w:val="center"/>
          </w:tcPr>
          <w:p w:rsidR="00412139" w:rsidP="00634720">
            <w:pPr>
              <w:spacing w:line="360" w:lineRule="auto"/>
              <w:jc w:val="center"/>
              <w:rPr>
                <w:rFonts w:ascii="宋体" w:hAnsi="宋体"/>
                <w:szCs w:val="21"/>
              </w:rPr>
            </w:pPr>
            <w:r>
              <w:rPr>
                <w:rFonts w:ascii="宋体" w:hAnsi="宋体" w:hint="eastAsia"/>
                <w:szCs w:val="21"/>
              </w:rPr>
              <w:t>私募基金</w:t>
            </w:r>
          </w:p>
        </w:tc>
        <w:tc>
          <w:tcPr>
            <w:tcW w:w="214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0.00</w:t>
            </w:r>
          </w:p>
        </w:tc>
        <w:tc>
          <w:tcPr>
            <w:tcW w:w="1417"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0.00</w:t>
            </w:r>
          </w:p>
        </w:tc>
        <w:tc>
          <w:tcPr>
            <w:tcW w:w="214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0.00</w:t>
            </w:r>
          </w:p>
        </w:tc>
        <w:tc>
          <w:tcPr>
            <w:tcW w:w="1417"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0.00</w:t>
            </w:r>
          </w:p>
        </w:tc>
      </w:tr>
      <w:tr w:rsidTr="00634720">
        <w:tblPrEx>
          <w:tblW w:w="9330" w:type="dxa"/>
          <w:tblInd w:w="-7" w:type="dxa"/>
          <w:tblLayout w:type="fixed"/>
          <w:tblLook w:val="04A0"/>
        </w:tblPrEx>
        <w:tc>
          <w:tcPr>
            <w:tcW w:w="46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szCs w:val="21"/>
              </w:rPr>
            </w:pPr>
            <w:r>
              <w:rPr>
                <w:rFonts w:ascii="宋体" w:hAnsi="宋体" w:hint="eastAsia"/>
                <w:szCs w:val="21"/>
              </w:rPr>
              <w:t>1</w:t>
            </w:r>
            <w:r>
              <w:rPr>
                <w:rFonts w:ascii="宋体" w:hAnsi="宋体"/>
                <w:szCs w:val="21"/>
              </w:rPr>
              <w:t>3</w:t>
            </w:r>
          </w:p>
        </w:tc>
        <w:tc>
          <w:tcPr>
            <w:tcW w:w="1729" w:type="dxa"/>
            <w:tcBorders>
              <w:top w:val="single" w:sz="4" w:space="0" w:color="auto"/>
              <w:left w:val="single" w:sz="4" w:space="0" w:color="auto"/>
              <w:bottom w:val="single" w:sz="4" w:space="0" w:color="auto"/>
              <w:right w:val="single" w:sz="4" w:space="0" w:color="auto"/>
            </w:tcBorders>
            <w:vAlign w:val="center"/>
          </w:tcPr>
          <w:p w:rsidR="00412139" w:rsidP="00634720">
            <w:pPr>
              <w:spacing w:line="360" w:lineRule="auto"/>
              <w:jc w:val="center"/>
              <w:rPr>
                <w:rFonts w:ascii="宋体" w:hAnsi="宋体"/>
                <w:szCs w:val="21"/>
              </w:rPr>
            </w:pPr>
            <w:r>
              <w:rPr>
                <w:rFonts w:ascii="宋体" w:hAnsi="宋体" w:hint="eastAsia"/>
                <w:szCs w:val="21"/>
              </w:rPr>
              <w:t>资产管理产品</w:t>
            </w:r>
          </w:p>
        </w:tc>
        <w:tc>
          <w:tcPr>
            <w:tcW w:w="214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1,771,413,474.48</w:t>
            </w:r>
          </w:p>
        </w:tc>
        <w:tc>
          <w:tcPr>
            <w:tcW w:w="1417"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51.96</w:t>
            </w:r>
          </w:p>
        </w:tc>
        <w:tc>
          <w:tcPr>
            <w:tcW w:w="214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0.00</w:t>
            </w:r>
          </w:p>
        </w:tc>
        <w:tc>
          <w:tcPr>
            <w:tcW w:w="1417"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0.00</w:t>
            </w:r>
          </w:p>
        </w:tc>
      </w:tr>
      <w:tr w:rsidTr="00634720">
        <w:tblPrEx>
          <w:tblW w:w="9330" w:type="dxa"/>
          <w:tblInd w:w="-7" w:type="dxa"/>
          <w:tblLayout w:type="fixed"/>
          <w:tblLook w:val="04A0"/>
        </w:tblPrEx>
        <w:tc>
          <w:tcPr>
            <w:tcW w:w="46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szCs w:val="21"/>
              </w:rPr>
            </w:pPr>
            <w:r>
              <w:rPr>
                <w:rFonts w:ascii="宋体" w:hAnsi="宋体" w:hint="eastAsia"/>
                <w:szCs w:val="21"/>
              </w:rPr>
              <w:t>1</w:t>
            </w:r>
            <w:r>
              <w:rPr>
                <w:rFonts w:ascii="宋体" w:hAnsi="宋体"/>
                <w:szCs w:val="21"/>
              </w:rPr>
              <w:t>4</w:t>
            </w:r>
          </w:p>
        </w:tc>
        <w:tc>
          <w:tcPr>
            <w:tcW w:w="1729" w:type="dxa"/>
            <w:tcBorders>
              <w:top w:val="single" w:sz="4" w:space="0" w:color="auto"/>
              <w:left w:val="single" w:sz="4" w:space="0" w:color="auto"/>
              <w:bottom w:val="single" w:sz="4" w:space="0" w:color="auto"/>
              <w:right w:val="single" w:sz="4" w:space="0" w:color="auto"/>
            </w:tcBorders>
            <w:vAlign w:val="center"/>
          </w:tcPr>
          <w:p w:rsidR="00412139" w:rsidP="00634720">
            <w:pPr>
              <w:spacing w:line="360" w:lineRule="auto"/>
              <w:jc w:val="center"/>
              <w:rPr>
                <w:rFonts w:ascii="宋体" w:hAnsi="宋体"/>
                <w:szCs w:val="21"/>
              </w:rPr>
            </w:pPr>
            <w:r>
              <w:rPr>
                <w:rFonts w:ascii="宋体" w:hAnsi="宋体" w:hint="eastAsia"/>
                <w:szCs w:val="21"/>
              </w:rPr>
              <w:t>委外投资-协议方式</w:t>
            </w:r>
          </w:p>
        </w:tc>
        <w:tc>
          <w:tcPr>
            <w:tcW w:w="214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0.00</w:t>
            </w:r>
          </w:p>
        </w:tc>
        <w:tc>
          <w:tcPr>
            <w:tcW w:w="1417"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0.00</w:t>
            </w:r>
          </w:p>
        </w:tc>
        <w:tc>
          <w:tcPr>
            <w:tcW w:w="214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0.00</w:t>
            </w:r>
          </w:p>
        </w:tc>
        <w:tc>
          <w:tcPr>
            <w:tcW w:w="1417"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0.00</w:t>
            </w:r>
          </w:p>
        </w:tc>
      </w:tr>
      <w:tr w:rsidTr="00634720">
        <w:tblPrEx>
          <w:tblW w:w="9330" w:type="dxa"/>
          <w:tblInd w:w="-7" w:type="dxa"/>
          <w:tblLayout w:type="fixed"/>
          <w:tblLook w:val="04A0"/>
        </w:tblPrEx>
        <w:tc>
          <w:tcPr>
            <w:tcW w:w="46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szCs w:val="21"/>
              </w:rPr>
            </w:pPr>
          </w:p>
        </w:tc>
        <w:tc>
          <w:tcPr>
            <w:tcW w:w="1729" w:type="dxa"/>
            <w:tcBorders>
              <w:top w:val="single" w:sz="4" w:space="0" w:color="auto"/>
              <w:left w:val="single" w:sz="4" w:space="0" w:color="auto"/>
              <w:bottom w:val="single" w:sz="4" w:space="0" w:color="auto"/>
              <w:right w:val="single" w:sz="4" w:space="0" w:color="auto"/>
            </w:tcBorders>
            <w:vAlign w:val="center"/>
          </w:tcPr>
          <w:p w:rsidR="00412139" w:rsidP="00634720">
            <w:pPr>
              <w:spacing w:line="360" w:lineRule="auto"/>
              <w:jc w:val="center"/>
              <w:rPr>
                <w:rFonts w:ascii="宋体" w:hAnsi="宋体"/>
                <w:szCs w:val="21"/>
              </w:rPr>
            </w:pPr>
            <w:r>
              <w:rPr>
                <w:rFonts w:ascii="宋体" w:hAnsi="宋体" w:hint="eastAsia"/>
                <w:szCs w:val="21"/>
              </w:rPr>
              <w:t>合计</w:t>
            </w:r>
          </w:p>
        </w:tc>
        <w:tc>
          <w:tcPr>
            <w:tcW w:w="214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3,409,461,456.17</w:t>
            </w:r>
          </w:p>
        </w:tc>
        <w:tc>
          <w:tcPr>
            <w:tcW w:w="1417"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100.00</w:t>
            </w:r>
          </w:p>
        </w:tc>
        <w:tc>
          <w:tcPr>
            <w:tcW w:w="214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3,409,858,307.64</w:t>
            </w:r>
          </w:p>
        </w:tc>
        <w:tc>
          <w:tcPr>
            <w:tcW w:w="1417"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100.00</w:t>
            </w:r>
          </w:p>
        </w:tc>
      </w:tr>
    </w:tbl>
    <w:p w:rsidR="0071237C" w:rsidRPr="00AB4088" w:rsidP="00B05C45">
      <w:pPr>
        <w:rPr>
          <w:rFonts w:ascii="宋体" w:hAnsi="宋体"/>
          <w:szCs w:val="21"/>
          <w:shd w:val="clear" w:color="auto" w:fill="FFFFFF"/>
        </w:rPr>
      </w:pPr>
      <w:r w:rsidRPr="00491CFA">
        <w:rPr>
          <w:rFonts w:ascii="宋体" w:hAnsi="宋体" w:hint="eastAsia"/>
          <w:szCs w:val="21"/>
          <w:shd w:val="clear" w:color="auto" w:fill="FFFFFF"/>
        </w:rPr>
        <w:t>注</w:t>
      </w:r>
      <w:bookmarkStart w:id="18" w:name="_Toc98232006"/>
      <w:bookmarkEnd w:id="15"/>
      <w:bookmarkEnd w:id="16"/>
      <w:bookmarkEnd w:id="17"/>
      <w:r>
        <w:rPr>
          <w:rFonts w:ascii="宋体" w:hAnsi="宋体" w:hint="eastAsia"/>
          <w:szCs w:val="21"/>
          <w:shd w:val="clear" w:color="auto" w:fill="FFFFFF"/>
        </w:rPr>
        <w:t>：</w:t>
      </w:r>
      <w:r w:rsidRPr="00491CFA">
        <w:rPr>
          <w:rFonts w:ascii="宋体" w:hAnsi="宋体"/>
          <w:szCs w:val="21"/>
          <w:shd w:val="clear" w:color="auto" w:fill="FFFFFF"/>
        </w:rPr>
        <w:t>1.</w:t>
      </w:r>
      <w:r w:rsidRPr="00491CFA">
        <w:rPr>
          <w:rFonts w:ascii="宋体" w:hAnsi="宋体" w:hint="eastAsia"/>
          <w:szCs w:val="21"/>
          <w:shd w:val="clear" w:color="auto" w:fill="FFFFFF"/>
        </w:rPr>
        <w:t>金额中包含资产应计利息、其他应收款项、清算款项和待摊费用。</w:t>
      </w:r>
    </w:p>
    <w:p w:rsidR="00B05C45" w:rsidRPr="00AB4088" w:rsidP="00B05C45">
      <w:pPr>
        <w:rPr>
          <w:rFonts w:ascii="宋体" w:hAnsi="宋体"/>
          <w:szCs w:val="21"/>
          <w:shd w:val="clear" w:color="auto" w:fill="FFFFFF"/>
        </w:rPr>
      </w:pPr>
      <w:r w:rsidRPr="00491CFA">
        <w:rPr>
          <w:rFonts w:ascii="宋体" w:hAnsi="宋体"/>
          <w:szCs w:val="21"/>
          <w:shd w:val="clear" w:color="auto" w:fill="FFFFFF"/>
        </w:rPr>
        <w:t>2.</w:t>
      </w:r>
      <w:r w:rsidRPr="00491CFA">
        <w:rPr>
          <w:rFonts w:ascii="宋体" w:hAnsi="宋体" w:hint="eastAsia"/>
          <w:szCs w:val="21"/>
          <w:shd w:val="clear" w:color="auto" w:fill="FFFFFF"/>
        </w:rPr>
        <w:t>占</w:t>
      </w:r>
      <w:r w:rsidRPr="00491CFA">
        <w:rPr>
          <w:rFonts w:ascii="宋体" w:hAnsi="宋体"/>
          <w:szCs w:val="21"/>
          <w:shd w:val="clear" w:color="auto" w:fill="FFFFFF"/>
        </w:rPr>
        <w:t>产品总资产的比例=资产</w:t>
      </w:r>
      <w:r w:rsidRPr="00491CFA">
        <w:rPr>
          <w:rFonts w:ascii="宋体" w:hAnsi="宋体" w:hint="eastAsia"/>
          <w:szCs w:val="21"/>
          <w:shd w:val="clear" w:color="auto" w:fill="FFFFFF"/>
        </w:rPr>
        <w:t>余额/产品</w:t>
      </w:r>
      <w:r w:rsidRPr="00491CFA">
        <w:rPr>
          <w:rFonts w:ascii="宋体" w:hAnsi="宋体"/>
          <w:szCs w:val="21"/>
          <w:shd w:val="clear" w:color="auto" w:fill="FFFFFF"/>
        </w:rPr>
        <w:t>总资产，</w:t>
      </w:r>
      <w:r w:rsidRPr="00491CFA">
        <w:rPr>
          <w:rFonts w:ascii="宋体" w:hAnsi="宋体" w:hint="eastAsia"/>
          <w:szCs w:val="21"/>
          <w:shd w:val="clear" w:color="auto" w:fill="FFFFFF"/>
        </w:rPr>
        <w:t>占比</w:t>
      </w:r>
      <w:r w:rsidRPr="00491CFA">
        <w:rPr>
          <w:rFonts w:ascii="宋体" w:hAnsi="宋体"/>
          <w:szCs w:val="21"/>
          <w:shd w:val="clear" w:color="auto" w:fill="FFFFFF"/>
        </w:rPr>
        <w:t>结果</w:t>
      </w:r>
      <w:r w:rsidRPr="00491CFA">
        <w:rPr>
          <w:rFonts w:ascii="宋体" w:hAnsi="宋体" w:hint="eastAsia"/>
          <w:szCs w:val="21"/>
          <w:shd w:val="clear" w:color="auto" w:fill="FFFFFF"/>
        </w:rPr>
        <w:t>保留两位小数（因第二位小数四舍五入，可能存在尾差）。</w:t>
      </w:r>
      <w:bookmarkStart w:id="19" w:name="前十大"/>
    </w:p>
    <w:p w:rsidR="00EA25B3">
      <w:pPr>
        <w:pStyle w:val="Heading20"/>
        <w:widowControl/>
        <w:rPr>
          <w:rStyle w:val="DefaultParagraphFont"/>
          <w:rFonts w:cs="宋体" w:hint="default"/>
          <w:color w:val="333333"/>
          <w:kern w:val="0"/>
          <w:szCs w:val="21"/>
          <w:highlight w:val="lightGray"/>
          <w:shd w:val="clear" w:color="auto" w:fill="FFFFFF"/>
        </w:rPr>
      </w:pPr>
      <w:bookmarkStart w:id="20" w:name="_Toc256000012"/>
      <w:r>
        <w:rPr>
          <w:rStyle w:val="DefaultParagraphFont"/>
          <w:sz w:val="24"/>
          <w:szCs w:val="24"/>
          <w:shd w:val="clear" w:color="auto" w:fill="FFFFFF"/>
        </w:rPr>
        <w:t>5.2 期末投资组合前十项资产</w:t>
      </w:r>
      <w:bookmarkEnd w:id="20"/>
    </w:p>
    <w:tbl>
      <w:tblPr>
        <w:tblStyle w:val="TableNormal"/>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009"/>
        <w:gridCol w:w="2386"/>
        <w:gridCol w:w="3046"/>
        <w:gridCol w:w="1631"/>
      </w:tblGrid>
      <w:tr>
        <w:tblPrEx>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c>
          <w:tcPr>
            <w:tcW w:w="2009" w:type="dxa"/>
            <w:shd w:val="clear" w:color="auto" w:fill="BFBFBF"/>
            <w:vAlign w:val="center"/>
          </w:tcPr>
          <w:p w:rsidR="00EA25B3">
            <w:pPr>
              <w:pStyle w:val="Normal1"/>
              <w:widowControl/>
              <w:jc w:val="center"/>
              <w:rPr>
                <w:rStyle w:val="DefaultParagraphFont"/>
                <w:rFonts w:ascii="宋体" w:hAnsi="宋体" w:cs="宋体"/>
                <w:b/>
                <w:color w:val="333333"/>
                <w:kern w:val="0"/>
                <w:szCs w:val="21"/>
                <w:highlight w:val="lightGray"/>
                <w:shd w:val="clear" w:color="auto" w:fill="FFFFFF"/>
              </w:rPr>
            </w:pPr>
            <w:r w:rsidRPr="0090581A">
              <w:rPr>
                <w:rStyle w:val="DefaultParagraphFont"/>
                <w:rFonts w:ascii="宋体" w:hAnsi="宋体" w:cs="宋体" w:hint="eastAsia"/>
                <w:b/>
                <w:szCs w:val="21"/>
              </w:rPr>
              <w:t>序号</w:t>
            </w:r>
          </w:p>
        </w:tc>
        <w:tc>
          <w:tcPr>
            <w:tcW w:w="2386" w:type="dxa"/>
            <w:shd w:val="clear" w:color="auto" w:fill="BFBFBF"/>
            <w:vAlign w:val="center"/>
          </w:tcPr>
          <w:p w:rsidR="00EA25B3">
            <w:pPr>
              <w:pStyle w:val="Normal1"/>
              <w:widowControl/>
              <w:jc w:val="center"/>
              <w:rPr>
                <w:rStyle w:val="DefaultParagraphFont"/>
                <w:rFonts w:ascii="宋体" w:hAnsi="宋体" w:cs="宋体"/>
                <w:b/>
                <w:color w:val="333333"/>
                <w:kern w:val="0"/>
                <w:szCs w:val="21"/>
                <w:highlight w:val="lightGray"/>
                <w:shd w:val="clear" w:color="auto" w:fill="FFFFFF"/>
              </w:rPr>
            </w:pPr>
            <w:r>
              <w:rPr>
                <w:rStyle w:val="DefaultParagraphFont"/>
                <w:rFonts w:ascii="宋体" w:hAnsi="宋体" w:cs="宋体" w:hint="eastAsia"/>
                <w:b/>
                <w:szCs w:val="21"/>
              </w:rPr>
              <w:t>资产名称</w:t>
            </w:r>
          </w:p>
        </w:tc>
        <w:tc>
          <w:tcPr>
            <w:tcW w:w="3046" w:type="dxa"/>
            <w:shd w:val="clear" w:color="auto" w:fill="BFBFBF"/>
            <w:vAlign w:val="center"/>
          </w:tcPr>
          <w:p w:rsidR="00EA25B3">
            <w:pPr>
              <w:pStyle w:val="Normal1"/>
              <w:widowControl/>
              <w:jc w:val="center"/>
              <w:rPr>
                <w:rStyle w:val="DefaultParagraphFont"/>
                <w:rFonts w:ascii="宋体" w:hAnsi="宋体" w:cs="宋体"/>
                <w:b/>
                <w:color w:val="333333"/>
                <w:kern w:val="0"/>
                <w:szCs w:val="21"/>
                <w:highlight w:val="lightGray"/>
                <w:shd w:val="clear" w:color="auto" w:fill="FFFFFF"/>
              </w:rPr>
            </w:pPr>
            <w:r>
              <w:rPr>
                <w:rStyle w:val="DefaultParagraphFont"/>
                <w:rFonts w:ascii="宋体" w:hAnsi="宋体" w:cs="宋体" w:hint="eastAsia"/>
                <w:b/>
                <w:szCs w:val="21"/>
              </w:rPr>
              <w:t>资产余额</w:t>
            </w:r>
          </w:p>
          <w:p w:rsidR="00EA25B3">
            <w:pPr>
              <w:pStyle w:val="Normal1"/>
              <w:widowControl/>
              <w:jc w:val="center"/>
              <w:rPr>
                <w:rStyle w:val="DefaultParagraphFont"/>
                <w:rFonts w:ascii="宋体" w:hAnsi="宋体" w:cs="宋体"/>
                <w:b/>
                <w:szCs w:val="21"/>
              </w:rPr>
            </w:pPr>
            <w:r>
              <w:rPr>
                <w:rStyle w:val="DefaultParagraphFont"/>
                <w:rFonts w:ascii="宋体" w:hAnsi="宋体" w:cs="宋体" w:hint="eastAsia"/>
                <w:b/>
                <w:szCs w:val="21"/>
              </w:rPr>
              <w:t>（单位：</w:t>
            </w:r>
            <w:r>
              <w:rPr>
                <w:rStyle w:val="DefaultParagraphFont"/>
                <w:rFonts w:ascii="宋体" w:eastAsia="宋体" w:hAnsi="宋体" w:cs="宋体"/>
                <w:b/>
                <w:i w:val="0"/>
                <w:color w:val="000000"/>
                <w:position w:val="-1"/>
                <w:u w:val="none"/>
              </w:rPr>
              <w:t>元</w:t>
            </w:r>
            <w:r>
              <w:rPr>
                <w:rStyle w:val="DefaultParagraphFont"/>
                <w:rFonts w:ascii="宋体" w:hAnsi="宋体" w:cs="宋体" w:hint="eastAsia"/>
                <w:b/>
                <w:szCs w:val="21"/>
              </w:rPr>
              <w:t>）</w:t>
            </w:r>
          </w:p>
        </w:tc>
        <w:tc>
          <w:tcPr>
            <w:tcW w:w="1631" w:type="dxa"/>
            <w:shd w:val="clear" w:color="auto" w:fill="BFBFBF"/>
            <w:vAlign w:val="center"/>
          </w:tcPr>
          <w:p w:rsidR="00EA25B3">
            <w:pPr>
              <w:pStyle w:val="Normal1"/>
              <w:widowControl/>
              <w:jc w:val="center"/>
              <w:rPr>
                <w:rStyle w:val="DefaultParagraphFont"/>
                <w:rFonts w:ascii="宋体" w:hAnsi="宋体" w:cs="宋体"/>
                <w:b/>
                <w:szCs w:val="21"/>
              </w:rPr>
            </w:pPr>
            <w:r>
              <w:rPr>
                <w:rStyle w:val="DefaultParagraphFont"/>
                <w:rFonts w:ascii="宋体" w:hAnsi="宋体" w:cs="宋体" w:hint="eastAsia"/>
                <w:b/>
                <w:szCs w:val="21"/>
              </w:rPr>
              <w:t>占产品净资产</w:t>
            </w:r>
          </w:p>
          <w:p w:rsidR="00EA25B3">
            <w:pPr>
              <w:pStyle w:val="Normal1"/>
              <w:widowControl/>
              <w:jc w:val="center"/>
              <w:rPr>
                <w:rStyle w:val="DefaultParagraphFont"/>
                <w:rFonts w:ascii="宋体" w:hAnsi="宋体" w:cs="宋体"/>
                <w:b/>
                <w:color w:val="333333"/>
                <w:kern w:val="0"/>
                <w:szCs w:val="21"/>
                <w:highlight w:val="lightGray"/>
                <w:shd w:val="clear" w:color="auto" w:fill="FFFFFF"/>
              </w:rPr>
            </w:pPr>
            <w:r>
              <w:rPr>
                <w:rStyle w:val="DefaultParagraphFont"/>
                <w:rFonts w:ascii="宋体" w:hAnsi="宋体" w:cs="宋体"/>
                <w:b/>
                <w:szCs w:val="21"/>
              </w:rPr>
              <w:t>的</w:t>
            </w:r>
            <w:r>
              <w:rPr>
                <w:rStyle w:val="DefaultParagraphFont"/>
                <w:rFonts w:ascii="宋体" w:hAnsi="宋体" w:cs="宋体" w:hint="eastAsia"/>
                <w:b/>
                <w:szCs w:val="21"/>
              </w:rPr>
              <w:t>比例（%）</w:t>
            </w:r>
          </w:p>
        </w:tc>
      </w:tr>
      <w:tr>
        <w:tblPrEx>
          <w:tblW w:w="9072" w:type="dxa"/>
          <w:tblInd w:w="-5" w:type="dxa"/>
          <w:tblLook w:val="0000"/>
        </w:tblPrEx>
        <w:trPr>
          <w:trHeight w:val="431"/>
        </w:trPr>
        <w:tc>
          <w:tcPr>
            <w:tcW w:w="2009" w:type="dxa"/>
            <w:shd w:val="clear" w:color="auto" w:fill="auto"/>
            <w:vAlign w:val="center"/>
          </w:tcPr>
          <w:p>
            <w:pPr>
              <w:pStyle w:val="Normal1"/>
              <w:ind w:left="-1" w:right="-1"/>
              <w:jc w:val="center"/>
              <w:rPr>
                <w:rStyle w:val="DefaultParagraphFont"/>
              </w:rPr>
            </w:pPr>
            <w:r>
              <w:rPr>
                <w:rStyle w:val="DefaultParagraphFont"/>
                <w:rFonts w:ascii="宋体" w:eastAsia="宋体" w:hAnsi="宋体" w:cs="宋体"/>
                <w:b w:val="0"/>
                <w:i w:val="0"/>
                <w:color w:val="000000"/>
                <w:spacing w:val="0"/>
                <w:position w:val="-1"/>
                <w:u w:val="none"/>
                <w:vertAlign w:val="baseline"/>
              </w:rPr>
              <w:t>1</w:t>
            </w:r>
          </w:p>
        </w:tc>
        <w:tc>
          <w:tcPr>
            <w:tcW w:w="2386" w:type="dxa"/>
            <w:shd w:val="clear" w:color="auto" w:fill="auto"/>
            <w:vAlign w:val="center"/>
          </w:tcPr>
          <w:p>
            <w:pPr>
              <w:pStyle w:val="Normal1"/>
              <w:ind w:left="-1" w:right="-1"/>
              <w:jc w:val="center"/>
              <w:rPr>
                <w:rStyle w:val="DefaultParagraphFont"/>
              </w:rPr>
            </w:pPr>
            <w:r>
              <w:rPr>
                <w:rStyle w:val="DefaultParagraphFont"/>
                <w:rFonts w:ascii="宋体" w:eastAsia="宋体" w:hAnsi="宋体" w:cs="宋体"/>
                <w:b w:val="0"/>
                <w:i w:val="0"/>
                <w:color w:val="000000"/>
                <w:spacing w:val="0"/>
                <w:position w:val="-1"/>
                <w:u w:val="none"/>
                <w:vertAlign w:val="baseline"/>
              </w:rPr>
              <w:t>定期存款1220139790104001</w:t>
            </w:r>
          </w:p>
        </w:tc>
        <w:tc>
          <w:tcPr>
            <w:tcW w:w="3046" w:type="dxa"/>
            <w:shd w:val="clear" w:color="auto" w:fill="auto"/>
            <w:vAlign w:val="center"/>
          </w:tcPr>
          <w:p>
            <w:pPr>
              <w:pStyle w:val="Normal1"/>
              <w:ind w:left="-1" w:right="-1"/>
              <w:jc w:val="center"/>
              <w:rPr>
                <w:rStyle w:val="DefaultParagraphFont"/>
              </w:rPr>
            </w:pPr>
            <w:r>
              <w:rPr>
                <w:rStyle w:val="DefaultParagraphFont"/>
                <w:rFonts w:ascii="宋体" w:eastAsia="宋体" w:hAnsi="宋体" w:cs="宋体"/>
                <w:b w:val="0"/>
                <w:i w:val="0"/>
                <w:color w:val="000000"/>
                <w:spacing w:val="0"/>
                <w:position w:val="-1"/>
                <w:u w:val="none"/>
                <w:vertAlign w:val="baseline"/>
              </w:rPr>
              <w:t>86,530,748.12</w:t>
            </w:r>
          </w:p>
        </w:tc>
        <w:tc>
          <w:tcPr>
            <w:tcW w:w="1631" w:type="dxa"/>
            <w:shd w:val="clear" w:color="auto" w:fill="auto"/>
            <w:vAlign w:val="center"/>
          </w:tcPr>
          <w:p>
            <w:pPr>
              <w:pStyle w:val="Normal1"/>
              <w:ind w:left="-1" w:right="-1"/>
              <w:jc w:val="center"/>
              <w:rPr>
                <w:rStyle w:val="DefaultParagraphFont"/>
              </w:rPr>
            </w:pPr>
            <w:r>
              <w:rPr>
                <w:rStyle w:val="DefaultParagraphFont"/>
                <w:rFonts w:ascii="宋体" w:eastAsia="宋体" w:hAnsi="宋体" w:cs="宋体"/>
                <w:b w:val="0"/>
                <w:i w:val="0"/>
                <w:color w:val="000000"/>
                <w:spacing w:val="0"/>
                <w:position w:val="-1"/>
                <w:u w:val="none"/>
                <w:vertAlign w:val="baseline"/>
              </w:rPr>
              <w:t>2.54</w:t>
            </w:r>
          </w:p>
        </w:tc>
      </w:tr>
      <w:tr>
        <w:tblPrEx>
          <w:tblW w:w="9072" w:type="dxa"/>
          <w:tblInd w:w="-5" w:type="dxa"/>
          <w:tblLook w:val="0000"/>
        </w:tblPrEx>
        <w:trPr>
          <w:trHeight w:val="431"/>
        </w:trPr>
        <w:tc>
          <w:tcPr>
            <w:tcW w:w="2009" w:type="dxa"/>
            <w:shd w:val="clear" w:color="auto" w:fill="auto"/>
            <w:vAlign w:val="center"/>
          </w:tcPr>
          <w:p>
            <w:pPr>
              <w:pStyle w:val="Normal1"/>
              <w:ind w:left="-1" w:right="-1"/>
              <w:jc w:val="center"/>
              <w:rPr>
                <w:rStyle w:val="DefaultParagraphFont"/>
              </w:rPr>
            </w:pPr>
            <w:r>
              <w:rPr>
                <w:rStyle w:val="DefaultParagraphFont"/>
                <w:rFonts w:ascii="宋体" w:eastAsia="宋体" w:hAnsi="宋体" w:cs="宋体"/>
                <w:b w:val="0"/>
                <w:i w:val="0"/>
                <w:color w:val="000000"/>
                <w:spacing w:val="0"/>
                <w:position w:val="-1"/>
                <w:u w:val="none"/>
                <w:vertAlign w:val="baseline"/>
              </w:rPr>
              <w:t>2</w:t>
            </w:r>
          </w:p>
        </w:tc>
        <w:tc>
          <w:tcPr>
            <w:tcW w:w="2386" w:type="dxa"/>
            <w:shd w:val="clear" w:color="auto" w:fill="auto"/>
            <w:vAlign w:val="center"/>
          </w:tcPr>
          <w:p>
            <w:pPr>
              <w:pStyle w:val="Normal1"/>
              <w:ind w:left="-1" w:right="-1"/>
              <w:jc w:val="center"/>
              <w:rPr>
                <w:rStyle w:val="DefaultParagraphFont"/>
              </w:rPr>
            </w:pPr>
            <w:r>
              <w:rPr>
                <w:rStyle w:val="DefaultParagraphFont"/>
                <w:rFonts w:ascii="宋体" w:eastAsia="宋体" w:hAnsi="宋体" w:cs="宋体"/>
                <w:b w:val="0"/>
                <w:i w:val="0"/>
                <w:color w:val="000000"/>
                <w:spacing w:val="0"/>
                <w:position w:val="-1"/>
                <w:u w:val="none"/>
                <w:vertAlign w:val="baseline"/>
              </w:rPr>
              <w:t>定期存款1220090190104000001</w:t>
            </w:r>
          </w:p>
        </w:tc>
        <w:tc>
          <w:tcPr>
            <w:tcW w:w="3046" w:type="dxa"/>
            <w:shd w:val="clear" w:color="auto" w:fill="auto"/>
            <w:vAlign w:val="center"/>
          </w:tcPr>
          <w:p>
            <w:pPr>
              <w:pStyle w:val="Normal1"/>
              <w:ind w:left="-1" w:right="-1"/>
              <w:jc w:val="center"/>
              <w:rPr>
                <w:rStyle w:val="DefaultParagraphFont"/>
              </w:rPr>
            </w:pPr>
            <w:r>
              <w:rPr>
                <w:rStyle w:val="DefaultParagraphFont"/>
                <w:rFonts w:ascii="宋体" w:eastAsia="宋体" w:hAnsi="宋体" w:cs="宋体"/>
                <w:b w:val="0"/>
                <w:i w:val="0"/>
                <w:color w:val="000000"/>
                <w:spacing w:val="0"/>
                <w:position w:val="-1"/>
                <w:u w:val="none"/>
                <w:vertAlign w:val="baseline"/>
              </w:rPr>
              <w:t>72,250,499.08</w:t>
            </w:r>
          </w:p>
        </w:tc>
        <w:tc>
          <w:tcPr>
            <w:tcW w:w="1631" w:type="dxa"/>
            <w:shd w:val="clear" w:color="auto" w:fill="auto"/>
            <w:vAlign w:val="center"/>
          </w:tcPr>
          <w:p>
            <w:pPr>
              <w:pStyle w:val="Normal1"/>
              <w:ind w:left="-1" w:right="-1"/>
              <w:jc w:val="center"/>
              <w:rPr>
                <w:rStyle w:val="DefaultParagraphFont"/>
              </w:rPr>
            </w:pPr>
            <w:r>
              <w:rPr>
                <w:rStyle w:val="DefaultParagraphFont"/>
                <w:rFonts w:ascii="宋体" w:eastAsia="宋体" w:hAnsi="宋体" w:cs="宋体"/>
                <w:b w:val="0"/>
                <w:i w:val="0"/>
                <w:color w:val="000000"/>
                <w:spacing w:val="0"/>
                <w:position w:val="-1"/>
                <w:u w:val="none"/>
                <w:vertAlign w:val="baseline"/>
              </w:rPr>
              <w:t>2.12</w:t>
            </w:r>
          </w:p>
        </w:tc>
      </w:tr>
      <w:tr>
        <w:tblPrEx>
          <w:tblW w:w="9072" w:type="dxa"/>
          <w:tblInd w:w="-5" w:type="dxa"/>
          <w:tblLook w:val="0000"/>
        </w:tblPrEx>
        <w:trPr>
          <w:trHeight w:val="431"/>
        </w:trPr>
        <w:tc>
          <w:tcPr>
            <w:tcW w:w="2009" w:type="dxa"/>
            <w:shd w:val="clear" w:color="auto" w:fill="auto"/>
            <w:vAlign w:val="center"/>
          </w:tcPr>
          <w:p>
            <w:pPr>
              <w:pStyle w:val="Normal1"/>
              <w:ind w:left="-1" w:right="-1"/>
              <w:jc w:val="center"/>
              <w:rPr>
                <w:rStyle w:val="DefaultParagraphFont"/>
              </w:rPr>
            </w:pPr>
            <w:r>
              <w:rPr>
                <w:rStyle w:val="DefaultParagraphFont"/>
                <w:rFonts w:ascii="宋体" w:eastAsia="宋体" w:hAnsi="宋体" w:cs="宋体"/>
                <w:b w:val="0"/>
                <w:i w:val="0"/>
                <w:color w:val="000000"/>
                <w:spacing w:val="0"/>
                <w:position w:val="-1"/>
                <w:u w:val="none"/>
                <w:vertAlign w:val="baseline"/>
              </w:rPr>
              <w:t>3</w:t>
            </w:r>
          </w:p>
        </w:tc>
        <w:tc>
          <w:tcPr>
            <w:tcW w:w="2386" w:type="dxa"/>
            <w:shd w:val="clear" w:color="auto" w:fill="auto"/>
            <w:vAlign w:val="center"/>
          </w:tcPr>
          <w:p>
            <w:pPr>
              <w:pStyle w:val="Normal1"/>
              <w:ind w:left="-1" w:right="-1"/>
              <w:jc w:val="center"/>
              <w:rPr>
                <w:rStyle w:val="DefaultParagraphFont"/>
              </w:rPr>
            </w:pPr>
            <w:r>
              <w:rPr>
                <w:rStyle w:val="DefaultParagraphFont"/>
                <w:rFonts w:ascii="宋体" w:eastAsia="宋体" w:hAnsi="宋体" w:cs="宋体"/>
                <w:b w:val="0"/>
                <w:i w:val="0"/>
                <w:color w:val="000000"/>
                <w:spacing w:val="0"/>
                <w:position w:val="-1"/>
                <w:u w:val="none"/>
                <w:vertAlign w:val="baseline"/>
              </w:rPr>
              <w:t>定期存款1220090190104000002</w:t>
            </w:r>
          </w:p>
        </w:tc>
        <w:tc>
          <w:tcPr>
            <w:tcW w:w="3046" w:type="dxa"/>
            <w:shd w:val="clear" w:color="auto" w:fill="auto"/>
            <w:vAlign w:val="center"/>
          </w:tcPr>
          <w:p>
            <w:pPr>
              <w:pStyle w:val="Normal1"/>
              <w:ind w:left="-1" w:right="-1"/>
              <w:jc w:val="center"/>
              <w:rPr>
                <w:rStyle w:val="DefaultParagraphFont"/>
              </w:rPr>
            </w:pPr>
            <w:r>
              <w:rPr>
                <w:rStyle w:val="DefaultParagraphFont"/>
                <w:rFonts w:ascii="宋体" w:eastAsia="宋体" w:hAnsi="宋体" w:cs="宋体"/>
                <w:b w:val="0"/>
                <w:i w:val="0"/>
                <w:color w:val="000000"/>
                <w:spacing w:val="0"/>
                <w:position w:val="-1"/>
                <w:u w:val="none"/>
                <w:vertAlign w:val="baseline"/>
              </w:rPr>
              <w:t>72,250,499.08</w:t>
            </w:r>
          </w:p>
        </w:tc>
        <w:tc>
          <w:tcPr>
            <w:tcW w:w="1631" w:type="dxa"/>
            <w:shd w:val="clear" w:color="auto" w:fill="auto"/>
            <w:vAlign w:val="center"/>
          </w:tcPr>
          <w:p>
            <w:pPr>
              <w:pStyle w:val="Normal1"/>
              <w:ind w:left="-1" w:right="-1"/>
              <w:jc w:val="center"/>
              <w:rPr>
                <w:rStyle w:val="DefaultParagraphFont"/>
              </w:rPr>
            </w:pPr>
            <w:r>
              <w:rPr>
                <w:rStyle w:val="DefaultParagraphFont"/>
                <w:rFonts w:ascii="宋体" w:eastAsia="宋体" w:hAnsi="宋体" w:cs="宋体"/>
                <w:b w:val="0"/>
                <w:i w:val="0"/>
                <w:color w:val="000000"/>
                <w:spacing w:val="0"/>
                <w:position w:val="-1"/>
                <w:u w:val="none"/>
                <w:vertAlign w:val="baseline"/>
              </w:rPr>
              <w:t>2.12</w:t>
            </w:r>
          </w:p>
        </w:tc>
      </w:tr>
      <w:tr>
        <w:tblPrEx>
          <w:tblW w:w="9072" w:type="dxa"/>
          <w:tblInd w:w="-5" w:type="dxa"/>
          <w:tblLook w:val="0000"/>
        </w:tblPrEx>
        <w:trPr>
          <w:trHeight w:val="431"/>
        </w:trPr>
        <w:tc>
          <w:tcPr>
            <w:tcW w:w="2009" w:type="dxa"/>
            <w:shd w:val="clear" w:color="auto" w:fill="auto"/>
            <w:vAlign w:val="center"/>
          </w:tcPr>
          <w:p>
            <w:pPr>
              <w:pStyle w:val="Normal1"/>
              <w:ind w:left="-1" w:right="-1"/>
              <w:jc w:val="center"/>
              <w:rPr>
                <w:rStyle w:val="DefaultParagraphFont"/>
              </w:rPr>
            </w:pPr>
            <w:r>
              <w:rPr>
                <w:rStyle w:val="DefaultParagraphFont"/>
                <w:rFonts w:ascii="宋体" w:eastAsia="宋体" w:hAnsi="宋体" w:cs="宋体"/>
                <w:b w:val="0"/>
                <w:i w:val="0"/>
                <w:color w:val="000000"/>
                <w:spacing w:val="0"/>
                <w:position w:val="-1"/>
                <w:u w:val="none"/>
                <w:vertAlign w:val="baseline"/>
              </w:rPr>
              <w:t>4</w:t>
            </w:r>
          </w:p>
        </w:tc>
        <w:tc>
          <w:tcPr>
            <w:tcW w:w="2386" w:type="dxa"/>
            <w:shd w:val="clear" w:color="auto" w:fill="auto"/>
            <w:vAlign w:val="center"/>
          </w:tcPr>
          <w:p>
            <w:pPr>
              <w:pStyle w:val="Normal1"/>
              <w:ind w:left="-1" w:right="-1"/>
              <w:jc w:val="center"/>
              <w:rPr>
                <w:rStyle w:val="DefaultParagraphFont"/>
              </w:rPr>
            </w:pPr>
            <w:r>
              <w:rPr>
                <w:rStyle w:val="DefaultParagraphFont"/>
                <w:rFonts w:ascii="宋体" w:eastAsia="宋体" w:hAnsi="宋体" w:cs="宋体"/>
                <w:b w:val="0"/>
                <w:i w:val="0"/>
                <w:color w:val="000000"/>
                <w:spacing w:val="0"/>
                <w:position w:val="-1"/>
                <w:u w:val="none"/>
                <w:vertAlign w:val="baseline"/>
              </w:rPr>
              <w:t>定期存款1220090190104000003</w:t>
            </w:r>
          </w:p>
        </w:tc>
        <w:tc>
          <w:tcPr>
            <w:tcW w:w="3046" w:type="dxa"/>
            <w:shd w:val="clear" w:color="auto" w:fill="auto"/>
            <w:vAlign w:val="center"/>
          </w:tcPr>
          <w:p>
            <w:pPr>
              <w:pStyle w:val="Normal1"/>
              <w:ind w:left="-1" w:right="-1"/>
              <w:jc w:val="center"/>
              <w:rPr>
                <w:rStyle w:val="DefaultParagraphFont"/>
              </w:rPr>
            </w:pPr>
            <w:r>
              <w:rPr>
                <w:rStyle w:val="DefaultParagraphFont"/>
                <w:rFonts w:ascii="宋体" w:eastAsia="宋体" w:hAnsi="宋体" w:cs="宋体"/>
                <w:b w:val="0"/>
                <w:i w:val="0"/>
                <w:color w:val="000000"/>
                <w:spacing w:val="0"/>
                <w:position w:val="-1"/>
                <w:u w:val="none"/>
                <w:vertAlign w:val="baseline"/>
              </w:rPr>
              <w:t>71,194,727.23</w:t>
            </w:r>
          </w:p>
        </w:tc>
        <w:tc>
          <w:tcPr>
            <w:tcW w:w="1631" w:type="dxa"/>
            <w:shd w:val="clear" w:color="auto" w:fill="auto"/>
            <w:vAlign w:val="center"/>
          </w:tcPr>
          <w:p>
            <w:pPr>
              <w:pStyle w:val="Normal1"/>
              <w:ind w:left="-1" w:right="-1"/>
              <w:jc w:val="center"/>
              <w:rPr>
                <w:rStyle w:val="DefaultParagraphFont"/>
              </w:rPr>
            </w:pPr>
            <w:r>
              <w:rPr>
                <w:rStyle w:val="DefaultParagraphFont"/>
                <w:rFonts w:ascii="宋体" w:eastAsia="宋体" w:hAnsi="宋体" w:cs="宋体"/>
                <w:b w:val="0"/>
                <w:i w:val="0"/>
                <w:color w:val="000000"/>
                <w:spacing w:val="0"/>
                <w:position w:val="-1"/>
                <w:u w:val="none"/>
                <w:vertAlign w:val="baseline"/>
              </w:rPr>
              <w:t>2.09</w:t>
            </w:r>
          </w:p>
        </w:tc>
      </w:tr>
      <w:tr>
        <w:tblPrEx>
          <w:tblW w:w="9072" w:type="dxa"/>
          <w:tblInd w:w="-5" w:type="dxa"/>
          <w:tblLook w:val="0000"/>
        </w:tblPrEx>
        <w:trPr>
          <w:trHeight w:val="431"/>
        </w:trPr>
        <w:tc>
          <w:tcPr>
            <w:tcW w:w="2009" w:type="dxa"/>
            <w:shd w:val="clear" w:color="auto" w:fill="auto"/>
            <w:vAlign w:val="center"/>
          </w:tcPr>
          <w:p>
            <w:pPr>
              <w:pStyle w:val="Normal1"/>
              <w:ind w:left="-1" w:right="-1"/>
              <w:jc w:val="center"/>
              <w:rPr>
                <w:rStyle w:val="DefaultParagraphFont"/>
              </w:rPr>
            </w:pPr>
            <w:r>
              <w:rPr>
                <w:rStyle w:val="DefaultParagraphFont"/>
                <w:rFonts w:ascii="宋体" w:eastAsia="宋体" w:hAnsi="宋体" w:cs="宋体"/>
                <w:b w:val="0"/>
                <w:i w:val="0"/>
                <w:color w:val="000000"/>
                <w:spacing w:val="0"/>
                <w:position w:val="-1"/>
                <w:u w:val="none"/>
                <w:vertAlign w:val="baseline"/>
              </w:rPr>
              <w:t>5</w:t>
            </w:r>
          </w:p>
        </w:tc>
        <w:tc>
          <w:tcPr>
            <w:tcW w:w="2386" w:type="dxa"/>
            <w:shd w:val="clear" w:color="auto" w:fill="auto"/>
            <w:vAlign w:val="center"/>
          </w:tcPr>
          <w:p>
            <w:pPr>
              <w:pStyle w:val="Normal1"/>
              <w:ind w:left="-1" w:right="-1"/>
              <w:jc w:val="center"/>
              <w:rPr>
                <w:rStyle w:val="DefaultParagraphFont"/>
              </w:rPr>
            </w:pPr>
            <w:r>
              <w:rPr>
                <w:rStyle w:val="DefaultParagraphFont"/>
                <w:rFonts w:ascii="宋体" w:eastAsia="宋体" w:hAnsi="宋体" w:cs="宋体"/>
                <w:b w:val="0"/>
                <w:i w:val="0"/>
                <w:color w:val="000000"/>
                <w:spacing w:val="0"/>
                <w:position w:val="-1"/>
                <w:u w:val="none"/>
                <w:vertAlign w:val="baseline"/>
              </w:rPr>
              <w:t>22民生C1</w:t>
            </w:r>
          </w:p>
        </w:tc>
        <w:tc>
          <w:tcPr>
            <w:tcW w:w="3046" w:type="dxa"/>
            <w:shd w:val="clear" w:color="auto" w:fill="auto"/>
            <w:vAlign w:val="center"/>
          </w:tcPr>
          <w:p>
            <w:pPr>
              <w:pStyle w:val="Normal1"/>
              <w:ind w:left="-1" w:right="-1"/>
              <w:jc w:val="center"/>
              <w:rPr>
                <w:rStyle w:val="DefaultParagraphFont"/>
              </w:rPr>
            </w:pPr>
            <w:r>
              <w:rPr>
                <w:rStyle w:val="DefaultParagraphFont"/>
                <w:rFonts w:ascii="宋体" w:eastAsia="宋体" w:hAnsi="宋体" w:cs="宋体"/>
                <w:b w:val="0"/>
                <w:i w:val="0"/>
                <w:color w:val="000000"/>
                <w:spacing w:val="0"/>
                <w:position w:val="-1"/>
                <w:u w:val="none"/>
                <w:vertAlign w:val="baseline"/>
              </w:rPr>
              <w:t>63,527,664.66</w:t>
            </w:r>
          </w:p>
        </w:tc>
        <w:tc>
          <w:tcPr>
            <w:tcW w:w="1631" w:type="dxa"/>
            <w:shd w:val="clear" w:color="auto" w:fill="auto"/>
            <w:vAlign w:val="center"/>
          </w:tcPr>
          <w:p>
            <w:pPr>
              <w:pStyle w:val="Normal1"/>
              <w:ind w:left="-1" w:right="-1"/>
              <w:jc w:val="center"/>
              <w:rPr>
                <w:rStyle w:val="DefaultParagraphFont"/>
              </w:rPr>
            </w:pPr>
            <w:r>
              <w:rPr>
                <w:rStyle w:val="DefaultParagraphFont"/>
                <w:rFonts w:ascii="宋体" w:eastAsia="宋体" w:hAnsi="宋体" w:cs="宋体"/>
                <w:b w:val="0"/>
                <w:i w:val="0"/>
                <w:color w:val="000000"/>
                <w:spacing w:val="0"/>
                <w:position w:val="-1"/>
                <w:u w:val="none"/>
                <w:vertAlign w:val="baseline"/>
              </w:rPr>
              <w:t>1.86</w:t>
            </w:r>
          </w:p>
        </w:tc>
      </w:tr>
      <w:tr>
        <w:tblPrEx>
          <w:tblW w:w="9072" w:type="dxa"/>
          <w:tblInd w:w="-5" w:type="dxa"/>
          <w:tblLook w:val="0000"/>
        </w:tblPrEx>
        <w:trPr>
          <w:trHeight w:val="431"/>
        </w:trPr>
        <w:tc>
          <w:tcPr>
            <w:tcW w:w="2009" w:type="dxa"/>
            <w:shd w:val="clear" w:color="auto" w:fill="auto"/>
            <w:vAlign w:val="center"/>
          </w:tcPr>
          <w:p>
            <w:pPr>
              <w:pStyle w:val="Normal1"/>
              <w:ind w:left="-1" w:right="-1"/>
              <w:jc w:val="center"/>
              <w:rPr>
                <w:rStyle w:val="DefaultParagraphFont"/>
              </w:rPr>
            </w:pPr>
            <w:r>
              <w:rPr>
                <w:rStyle w:val="DefaultParagraphFont"/>
                <w:rFonts w:ascii="宋体" w:eastAsia="宋体" w:hAnsi="宋体" w:cs="宋体"/>
                <w:b w:val="0"/>
                <w:i w:val="0"/>
                <w:color w:val="000000"/>
                <w:spacing w:val="0"/>
                <w:position w:val="-1"/>
                <w:u w:val="none"/>
                <w:vertAlign w:val="baseline"/>
              </w:rPr>
              <w:t>6</w:t>
            </w:r>
          </w:p>
        </w:tc>
        <w:tc>
          <w:tcPr>
            <w:tcW w:w="2386" w:type="dxa"/>
            <w:shd w:val="clear" w:color="auto" w:fill="auto"/>
            <w:vAlign w:val="center"/>
          </w:tcPr>
          <w:p>
            <w:pPr>
              <w:pStyle w:val="Normal1"/>
              <w:ind w:left="-1" w:right="-1"/>
              <w:jc w:val="center"/>
              <w:rPr>
                <w:rStyle w:val="DefaultParagraphFont"/>
              </w:rPr>
            </w:pPr>
            <w:r>
              <w:rPr>
                <w:rStyle w:val="DefaultParagraphFont"/>
                <w:rFonts w:ascii="宋体" w:eastAsia="宋体" w:hAnsi="宋体" w:cs="宋体"/>
                <w:b w:val="0"/>
                <w:i w:val="0"/>
                <w:color w:val="000000"/>
                <w:spacing w:val="0"/>
                <w:position w:val="-1"/>
                <w:u w:val="none"/>
                <w:vertAlign w:val="baseline"/>
              </w:rPr>
              <w:t>22金隅Y1</w:t>
            </w:r>
          </w:p>
        </w:tc>
        <w:tc>
          <w:tcPr>
            <w:tcW w:w="3046" w:type="dxa"/>
            <w:shd w:val="clear" w:color="auto" w:fill="auto"/>
            <w:vAlign w:val="center"/>
          </w:tcPr>
          <w:p>
            <w:pPr>
              <w:pStyle w:val="Normal1"/>
              <w:ind w:left="-1" w:right="-1"/>
              <w:jc w:val="center"/>
              <w:rPr>
                <w:rStyle w:val="DefaultParagraphFont"/>
              </w:rPr>
            </w:pPr>
            <w:r>
              <w:rPr>
                <w:rStyle w:val="DefaultParagraphFont"/>
                <w:rFonts w:ascii="宋体" w:eastAsia="宋体" w:hAnsi="宋体" w:cs="宋体"/>
                <w:b w:val="0"/>
                <w:i w:val="0"/>
                <w:color w:val="000000"/>
                <w:spacing w:val="0"/>
                <w:position w:val="-1"/>
                <w:u w:val="none"/>
                <w:vertAlign w:val="baseline"/>
              </w:rPr>
              <w:t>50,854,779.99</w:t>
            </w:r>
          </w:p>
        </w:tc>
        <w:tc>
          <w:tcPr>
            <w:tcW w:w="1631" w:type="dxa"/>
            <w:shd w:val="clear" w:color="auto" w:fill="auto"/>
            <w:vAlign w:val="center"/>
          </w:tcPr>
          <w:p>
            <w:pPr>
              <w:pStyle w:val="Normal1"/>
              <w:ind w:left="-1" w:right="-1"/>
              <w:jc w:val="center"/>
              <w:rPr>
                <w:rStyle w:val="DefaultParagraphFont"/>
              </w:rPr>
            </w:pPr>
            <w:r>
              <w:rPr>
                <w:rStyle w:val="DefaultParagraphFont"/>
                <w:rFonts w:ascii="宋体" w:eastAsia="宋体" w:hAnsi="宋体" w:cs="宋体"/>
                <w:b w:val="0"/>
                <w:i w:val="0"/>
                <w:color w:val="000000"/>
                <w:spacing w:val="0"/>
                <w:position w:val="-1"/>
                <w:u w:val="none"/>
                <w:vertAlign w:val="baseline"/>
              </w:rPr>
              <w:t>1.49</w:t>
            </w:r>
          </w:p>
        </w:tc>
      </w:tr>
      <w:tr>
        <w:tblPrEx>
          <w:tblW w:w="9072" w:type="dxa"/>
          <w:tblInd w:w="-5" w:type="dxa"/>
          <w:tblLook w:val="0000"/>
        </w:tblPrEx>
        <w:trPr>
          <w:trHeight w:val="431"/>
        </w:trPr>
        <w:tc>
          <w:tcPr>
            <w:tcW w:w="2009" w:type="dxa"/>
            <w:shd w:val="clear" w:color="auto" w:fill="auto"/>
            <w:vAlign w:val="center"/>
          </w:tcPr>
          <w:p>
            <w:pPr>
              <w:pStyle w:val="Normal1"/>
              <w:ind w:left="-1" w:right="-1"/>
              <w:jc w:val="center"/>
              <w:rPr>
                <w:rStyle w:val="DefaultParagraphFont"/>
              </w:rPr>
            </w:pPr>
            <w:r>
              <w:rPr>
                <w:rStyle w:val="DefaultParagraphFont"/>
                <w:rFonts w:ascii="宋体" w:eastAsia="宋体" w:hAnsi="宋体" w:cs="宋体"/>
                <w:b w:val="0"/>
                <w:i w:val="0"/>
                <w:color w:val="000000"/>
                <w:spacing w:val="0"/>
                <w:position w:val="-1"/>
                <w:u w:val="none"/>
                <w:vertAlign w:val="baseline"/>
              </w:rPr>
              <w:t>7</w:t>
            </w:r>
          </w:p>
        </w:tc>
        <w:tc>
          <w:tcPr>
            <w:tcW w:w="2386" w:type="dxa"/>
            <w:shd w:val="clear" w:color="auto" w:fill="auto"/>
            <w:vAlign w:val="center"/>
          </w:tcPr>
          <w:p>
            <w:pPr>
              <w:pStyle w:val="Normal1"/>
              <w:ind w:left="-1" w:right="-1"/>
              <w:jc w:val="center"/>
              <w:rPr>
                <w:rStyle w:val="DefaultParagraphFont"/>
              </w:rPr>
            </w:pPr>
            <w:r>
              <w:rPr>
                <w:rStyle w:val="DefaultParagraphFont"/>
                <w:rFonts w:ascii="宋体" w:eastAsia="宋体" w:hAnsi="宋体" w:cs="宋体"/>
                <w:b w:val="0"/>
                <w:i w:val="0"/>
                <w:color w:val="000000"/>
                <w:spacing w:val="0"/>
                <w:position w:val="-1"/>
                <w:u w:val="none"/>
                <w:vertAlign w:val="baseline"/>
              </w:rPr>
              <w:t>23中交三航MTN001</w:t>
            </w:r>
          </w:p>
        </w:tc>
        <w:tc>
          <w:tcPr>
            <w:tcW w:w="3046" w:type="dxa"/>
            <w:shd w:val="clear" w:color="auto" w:fill="auto"/>
            <w:vAlign w:val="center"/>
          </w:tcPr>
          <w:p>
            <w:pPr>
              <w:pStyle w:val="Normal1"/>
              <w:ind w:left="-1" w:right="-1"/>
              <w:jc w:val="center"/>
              <w:rPr>
                <w:rStyle w:val="DefaultParagraphFont"/>
              </w:rPr>
            </w:pPr>
            <w:r>
              <w:rPr>
                <w:rStyle w:val="DefaultParagraphFont"/>
                <w:rFonts w:ascii="宋体" w:eastAsia="宋体" w:hAnsi="宋体" w:cs="宋体"/>
                <w:b w:val="0"/>
                <w:i w:val="0"/>
                <w:color w:val="000000"/>
                <w:spacing w:val="0"/>
                <w:position w:val="-1"/>
                <w:u w:val="none"/>
                <w:vertAlign w:val="baseline"/>
              </w:rPr>
              <w:t>41,355,777.53</w:t>
            </w:r>
          </w:p>
        </w:tc>
        <w:tc>
          <w:tcPr>
            <w:tcW w:w="1631" w:type="dxa"/>
            <w:shd w:val="clear" w:color="auto" w:fill="auto"/>
            <w:vAlign w:val="center"/>
          </w:tcPr>
          <w:p>
            <w:pPr>
              <w:pStyle w:val="Normal1"/>
              <w:ind w:left="-1" w:right="-1"/>
              <w:jc w:val="center"/>
              <w:rPr>
                <w:rStyle w:val="DefaultParagraphFont"/>
              </w:rPr>
            </w:pPr>
            <w:r>
              <w:rPr>
                <w:rStyle w:val="DefaultParagraphFont"/>
                <w:rFonts w:ascii="宋体" w:eastAsia="宋体" w:hAnsi="宋体" w:cs="宋体"/>
                <w:b w:val="0"/>
                <w:i w:val="0"/>
                <w:color w:val="000000"/>
                <w:spacing w:val="0"/>
                <w:position w:val="-1"/>
                <w:u w:val="none"/>
                <w:vertAlign w:val="baseline"/>
              </w:rPr>
              <w:t>1.21</w:t>
            </w:r>
          </w:p>
        </w:tc>
      </w:tr>
      <w:tr>
        <w:tblPrEx>
          <w:tblW w:w="9072" w:type="dxa"/>
          <w:tblInd w:w="-5" w:type="dxa"/>
          <w:tblLook w:val="0000"/>
        </w:tblPrEx>
        <w:trPr>
          <w:trHeight w:val="431"/>
        </w:trPr>
        <w:tc>
          <w:tcPr>
            <w:tcW w:w="2009" w:type="dxa"/>
            <w:shd w:val="clear" w:color="auto" w:fill="auto"/>
            <w:vAlign w:val="center"/>
          </w:tcPr>
          <w:p>
            <w:pPr>
              <w:pStyle w:val="Normal1"/>
              <w:ind w:left="-1" w:right="-1"/>
              <w:jc w:val="center"/>
              <w:rPr>
                <w:rStyle w:val="DefaultParagraphFont"/>
              </w:rPr>
            </w:pPr>
            <w:r>
              <w:rPr>
                <w:rStyle w:val="DefaultParagraphFont"/>
                <w:rFonts w:ascii="宋体" w:eastAsia="宋体" w:hAnsi="宋体" w:cs="宋体"/>
                <w:b w:val="0"/>
                <w:i w:val="0"/>
                <w:color w:val="000000"/>
                <w:spacing w:val="0"/>
                <w:position w:val="-1"/>
                <w:u w:val="none"/>
                <w:vertAlign w:val="baseline"/>
              </w:rPr>
              <w:t>8</w:t>
            </w:r>
          </w:p>
        </w:tc>
        <w:tc>
          <w:tcPr>
            <w:tcW w:w="2386" w:type="dxa"/>
            <w:shd w:val="clear" w:color="auto" w:fill="auto"/>
            <w:vAlign w:val="center"/>
          </w:tcPr>
          <w:p>
            <w:pPr>
              <w:pStyle w:val="Normal1"/>
              <w:ind w:left="-1" w:right="-1"/>
              <w:jc w:val="center"/>
              <w:rPr>
                <w:rStyle w:val="DefaultParagraphFont"/>
              </w:rPr>
            </w:pPr>
            <w:r>
              <w:rPr>
                <w:rStyle w:val="DefaultParagraphFont"/>
                <w:rFonts w:ascii="宋体" w:eastAsia="宋体" w:hAnsi="宋体" w:cs="宋体"/>
                <w:b w:val="0"/>
                <w:i w:val="0"/>
                <w:color w:val="000000"/>
                <w:spacing w:val="0"/>
                <w:position w:val="-1"/>
                <w:u w:val="none"/>
                <w:vertAlign w:val="baseline"/>
              </w:rPr>
              <w:t>22浙商01</w:t>
            </w:r>
          </w:p>
        </w:tc>
        <w:tc>
          <w:tcPr>
            <w:tcW w:w="3046" w:type="dxa"/>
            <w:shd w:val="clear" w:color="auto" w:fill="auto"/>
            <w:vAlign w:val="center"/>
          </w:tcPr>
          <w:p>
            <w:pPr>
              <w:pStyle w:val="Normal1"/>
              <w:ind w:left="-1" w:right="-1"/>
              <w:jc w:val="center"/>
              <w:rPr>
                <w:rStyle w:val="DefaultParagraphFont"/>
              </w:rPr>
            </w:pPr>
            <w:r>
              <w:rPr>
                <w:rStyle w:val="DefaultParagraphFont"/>
                <w:rFonts w:ascii="宋体" w:eastAsia="宋体" w:hAnsi="宋体" w:cs="宋体"/>
                <w:b w:val="0"/>
                <w:i w:val="0"/>
                <w:color w:val="000000"/>
                <w:spacing w:val="0"/>
                <w:position w:val="-1"/>
                <w:u w:val="none"/>
                <w:vertAlign w:val="baseline"/>
              </w:rPr>
              <w:t>41,284,653.70</w:t>
            </w:r>
          </w:p>
        </w:tc>
        <w:tc>
          <w:tcPr>
            <w:tcW w:w="1631" w:type="dxa"/>
            <w:shd w:val="clear" w:color="auto" w:fill="auto"/>
            <w:vAlign w:val="center"/>
          </w:tcPr>
          <w:p>
            <w:pPr>
              <w:pStyle w:val="Normal1"/>
              <w:ind w:left="-1" w:right="-1"/>
              <w:jc w:val="center"/>
              <w:rPr>
                <w:rStyle w:val="DefaultParagraphFont"/>
              </w:rPr>
            </w:pPr>
            <w:r>
              <w:rPr>
                <w:rStyle w:val="DefaultParagraphFont"/>
                <w:rFonts w:ascii="宋体" w:eastAsia="宋体" w:hAnsi="宋体" w:cs="宋体"/>
                <w:b w:val="0"/>
                <w:i w:val="0"/>
                <w:color w:val="000000"/>
                <w:spacing w:val="0"/>
                <w:position w:val="-1"/>
                <w:u w:val="none"/>
                <w:vertAlign w:val="baseline"/>
              </w:rPr>
              <w:t>1.21</w:t>
            </w:r>
          </w:p>
        </w:tc>
      </w:tr>
      <w:tr>
        <w:tblPrEx>
          <w:tblW w:w="9072" w:type="dxa"/>
          <w:tblInd w:w="-5" w:type="dxa"/>
          <w:tblLook w:val="0000"/>
        </w:tblPrEx>
        <w:trPr>
          <w:trHeight w:val="431"/>
        </w:trPr>
        <w:tc>
          <w:tcPr>
            <w:tcW w:w="2009" w:type="dxa"/>
            <w:shd w:val="clear" w:color="auto" w:fill="auto"/>
            <w:vAlign w:val="center"/>
          </w:tcPr>
          <w:p>
            <w:pPr>
              <w:pStyle w:val="Normal1"/>
              <w:ind w:left="-1" w:right="-1"/>
              <w:jc w:val="center"/>
              <w:rPr>
                <w:rStyle w:val="DefaultParagraphFont"/>
              </w:rPr>
            </w:pPr>
            <w:r>
              <w:rPr>
                <w:rStyle w:val="DefaultParagraphFont"/>
                <w:rFonts w:ascii="宋体" w:eastAsia="宋体" w:hAnsi="宋体" w:cs="宋体"/>
                <w:b w:val="0"/>
                <w:i w:val="0"/>
                <w:color w:val="000000"/>
                <w:spacing w:val="0"/>
                <w:position w:val="-1"/>
                <w:u w:val="none"/>
                <w:vertAlign w:val="baseline"/>
              </w:rPr>
              <w:t>9</w:t>
            </w:r>
          </w:p>
        </w:tc>
        <w:tc>
          <w:tcPr>
            <w:tcW w:w="2386" w:type="dxa"/>
            <w:shd w:val="clear" w:color="auto" w:fill="auto"/>
            <w:vAlign w:val="center"/>
          </w:tcPr>
          <w:p>
            <w:pPr>
              <w:pStyle w:val="Normal1"/>
              <w:ind w:left="-1" w:right="-1"/>
              <w:jc w:val="center"/>
              <w:rPr>
                <w:rStyle w:val="DefaultParagraphFont"/>
              </w:rPr>
            </w:pPr>
            <w:r>
              <w:rPr>
                <w:rStyle w:val="DefaultParagraphFont"/>
                <w:rFonts w:ascii="宋体" w:eastAsia="宋体" w:hAnsi="宋体" w:cs="宋体"/>
                <w:b w:val="0"/>
                <w:i w:val="0"/>
                <w:color w:val="000000"/>
                <w:spacing w:val="0"/>
                <w:position w:val="-1"/>
                <w:u w:val="none"/>
                <w:vertAlign w:val="baseline"/>
              </w:rPr>
              <w:t>22东莞01</w:t>
            </w:r>
          </w:p>
        </w:tc>
        <w:tc>
          <w:tcPr>
            <w:tcW w:w="3046" w:type="dxa"/>
            <w:shd w:val="clear" w:color="auto" w:fill="auto"/>
            <w:vAlign w:val="center"/>
          </w:tcPr>
          <w:p>
            <w:pPr>
              <w:pStyle w:val="Normal1"/>
              <w:ind w:left="-1" w:right="-1"/>
              <w:jc w:val="center"/>
              <w:rPr>
                <w:rStyle w:val="DefaultParagraphFont"/>
              </w:rPr>
            </w:pPr>
            <w:r>
              <w:rPr>
                <w:rStyle w:val="DefaultParagraphFont"/>
                <w:rFonts w:ascii="宋体" w:eastAsia="宋体" w:hAnsi="宋体" w:cs="宋体"/>
                <w:b w:val="0"/>
                <w:i w:val="0"/>
                <w:color w:val="000000"/>
                <w:spacing w:val="0"/>
                <w:position w:val="-1"/>
                <w:u w:val="none"/>
                <w:vertAlign w:val="baseline"/>
              </w:rPr>
              <w:t>41,212,176.44</w:t>
            </w:r>
          </w:p>
        </w:tc>
        <w:tc>
          <w:tcPr>
            <w:tcW w:w="1631" w:type="dxa"/>
            <w:shd w:val="clear" w:color="auto" w:fill="auto"/>
            <w:vAlign w:val="center"/>
          </w:tcPr>
          <w:p>
            <w:pPr>
              <w:pStyle w:val="Normal1"/>
              <w:ind w:left="-1" w:right="-1"/>
              <w:jc w:val="center"/>
              <w:rPr>
                <w:rStyle w:val="DefaultParagraphFont"/>
              </w:rPr>
            </w:pPr>
            <w:r>
              <w:rPr>
                <w:rStyle w:val="DefaultParagraphFont"/>
                <w:rFonts w:ascii="宋体" w:eastAsia="宋体" w:hAnsi="宋体" w:cs="宋体"/>
                <w:b w:val="0"/>
                <w:i w:val="0"/>
                <w:color w:val="000000"/>
                <w:spacing w:val="0"/>
                <w:position w:val="-1"/>
                <w:u w:val="none"/>
                <w:vertAlign w:val="baseline"/>
              </w:rPr>
              <w:t>1.21</w:t>
            </w:r>
          </w:p>
        </w:tc>
      </w:tr>
      <w:tr>
        <w:tblPrEx>
          <w:tblW w:w="9072" w:type="dxa"/>
          <w:tblInd w:w="-5" w:type="dxa"/>
          <w:tblLook w:val="0000"/>
        </w:tblPrEx>
        <w:trPr>
          <w:trHeight w:val="431"/>
        </w:trPr>
        <w:tc>
          <w:tcPr>
            <w:tcW w:w="2009" w:type="dxa"/>
            <w:shd w:val="clear" w:color="auto" w:fill="auto"/>
            <w:vAlign w:val="center"/>
          </w:tcPr>
          <w:p>
            <w:pPr>
              <w:pStyle w:val="Normal1"/>
              <w:ind w:left="-1" w:right="-1"/>
              <w:jc w:val="center"/>
              <w:rPr>
                <w:rStyle w:val="DefaultParagraphFont"/>
              </w:rPr>
            </w:pPr>
            <w:r>
              <w:rPr>
                <w:rStyle w:val="DefaultParagraphFont"/>
                <w:rFonts w:ascii="宋体" w:eastAsia="宋体" w:hAnsi="宋体" w:cs="宋体"/>
                <w:b w:val="0"/>
                <w:i w:val="0"/>
                <w:color w:val="000000"/>
                <w:spacing w:val="0"/>
                <w:position w:val="-1"/>
                <w:u w:val="none"/>
                <w:vertAlign w:val="baseline"/>
              </w:rPr>
              <w:t>10</w:t>
            </w:r>
          </w:p>
        </w:tc>
        <w:tc>
          <w:tcPr>
            <w:tcW w:w="2386" w:type="dxa"/>
            <w:shd w:val="clear" w:color="auto" w:fill="auto"/>
            <w:vAlign w:val="center"/>
          </w:tcPr>
          <w:p>
            <w:pPr>
              <w:pStyle w:val="Normal1"/>
              <w:ind w:left="-1" w:right="-1"/>
              <w:jc w:val="center"/>
              <w:rPr>
                <w:rStyle w:val="DefaultParagraphFont"/>
              </w:rPr>
            </w:pPr>
            <w:r>
              <w:rPr>
                <w:rStyle w:val="DefaultParagraphFont"/>
                <w:rFonts w:ascii="宋体" w:eastAsia="宋体" w:hAnsi="宋体" w:cs="宋体"/>
                <w:b w:val="0"/>
                <w:i w:val="0"/>
                <w:color w:val="000000"/>
                <w:spacing w:val="0"/>
                <w:position w:val="-1"/>
                <w:u w:val="none"/>
                <w:vertAlign w:val="baseline"/>
              </w:rPr>
              <w:t>23中化Y2</w:t>
            </w:r>
          </w:p>
        </w:tc>
        <w:tc>
          <w:tcPr>
            <w:tcW w:w="3046" w:type="dxa"/>
            <w:shd w:val="clear" w:color="auto" w:fill="auto"/>
            <w:vAlign w:val="center"/>
          </w:tcPr>
          <w:p>
            <w:pPr>
              <w:pStyle w:val="Normal1"/>
              <w:ind w:left="-1" w:right="-1"/>
              <w:jc w:val="center"/>
              <w:rPr>
                <w:rStyle w:val="DefaultParagraphFont"/>
              </w:rPr>
            </w:pPr>
            <w:r>
              <w:rPr>
                <w:rStyle w:val="DefaultParagraphFont"/>
                <w:rFonts w:ascii="宋体" w:eastAsia="宋体" w:hAnsi="宋体" w:cs="宋体"/>
                <w:b w:val="0"/>
                <w:i w:val="0"/>
                <w:color w:val="000000"/>
                <w:spacing w:val="0"/>
                <w:position w:val="-1"/>
                <w:u w:val="none"/>
                <w:vertAlign w:val="baseline"/>
              </w:rPr>
              <w:t>41,029,429.59</w:t>
            </w:r>
          </w:p>
        </w:tc>
        <w:tc>
          <w:tcPr>
            <w:tcW w:w="1631" w:type="dxa"/>
            <w:shd w:val="clear" w:color="auto" w:fill="auto"/>
            <w:vAlign w:val="center"/>
          </w:tcPr>
          <w:p>
            <w:pPr>
              <w:pStyle w:val="Normal1"/>
              <w:ind w:left="-1" w:right="-1"/>
              <w:jc w:val="center"/>
              <w:rPr>
                <w:rStyle w:val="DefaultParagraphFont"/>
              </w:rPr>
            </w:pPr>
            <w:r>
              <w:rPr>
                <w:rStyle w:val="DefaultParagraphFont"/>
                <w:rFonts w:ascii="宋体" w:eastAsia="宋体" w:hAnsi="宋体" w:cs="宋体"/>
                <w:b w:val="0"/>
                <w:i w:val="0"/>
                <w:color w:val="000000"/>
                <w:spacing w:val="0"/>
                <w:position w:val="-1"/>
                <w:u w:val="none"/>
                <w:vertAlign w:val="baseline"/>
              </w:rPr>
              <w:t>1.20</w:t>
            </w:r>
          </w:p>
        </w:tc>
      </w:tr>
    </w:tbl>
    <w:p w:rsidR="00EA25B3">
      <w:pPr>
        <w:pStyle w:val="Normal1"/>
        <w:rPr>
          <w:rStyle w:val="DefaultParagraphFont"/>
          <w:rFonts w:ascii="宋体" w:hAnsi="宋体"/>
          <w:szCs w:val="21"/>
          <w:shd w:val="clear" w:color="auto" w:fill="FFFFFF"/>
        </w:rPr>
      </w:pPr>
      <w:r>
        <w:rPr>
          <w:rStyle w:val="DefaultParagraphFont"/>
          <w:rFonts w:ascii="宋体" w:hAnsi="宋体" w:hint="eastAsia"/>
          <w:szCs w:val="21"/>
          <w:shd w:val="clear" w:color="auto" w:fill="FFFFFF"/>
        </w:rPr>
        <w:t>注：占</w:t>
      </w:r>
      <w:r>
        <w:rPr>
          <w:rStyle w:val="DefaultParagraphFont"/>
          <w:rFonts w:ascii="宋体" w:hAnsi="宋体"/>
          <w:szCs w:val="21"/>
          <w:shd w:val="clear" w:color="auto" w:fill="FFFFFF"/>
        </w:rPr>
        <w:t>产品</w:t>
      </w:r>
      <w:r>
        <w:rPr>
          <w:rStyle w:val="DefaultParagraphFont"/>
          <w:rFonts w:ascii="宋体" w:hAnsi="宋体" w:hint="eastAsia"/>
          <w:szCs w:val="21"/>
          <w:shd w:val="clear" w:color="auto" w:fill="FFFFFF"/>
        </w:rPr>
        <w:t>净</w:t>
      </w:r>
      <w:r>
        <w:rPr>
          <w:rStyle w:val="DefaultParagraphFont"/>
          <w:rFonts w:ascii="宋体" w:hAnsi="宋体"/>
          <w:szCs w:val="21"/>
          <w:shd w:val="clear" w:color="auto" w:fill="FFFFFF"/>
        </w:rPr>
        <w:t>资产的比例=资产</w:t>
      </w:r>
      <w:r>
        <w:rPr>
          <w:rStyle w:val="DefaultParagraphFont"/>
          <w:rFonts w:ascii="宋体" w:hAnsi="宋体" w:hint="eastAsia"/>
          <w:szCs w:val="21"/>
          <w:shd w:val="clear" w:color="auto" w:fill="FFFFFF"/>
        </w:rPr>
        <w:t>余额/产品净</w:t>
      </w:r>
      <w:r>
        <w:rPr>
          <w:rStyle w:val="DefaultParagraphFont"/>
          <w:rFonts w:ascii="宋体" w:hAnsi="宋体"/>
          <w:szCs w:val="21"/>
          <w:shd w:val="clear" w:color="auto" w:fill="FFFFFF"/>
        </w:rPr>
        <w:t>资产，</w:t>
      </w:r>
      <w:r>
        <w:rPr>
          <w:rStyle w:val="DefaultParagraphFont"/>
          <w:rFonts w:ascii="宋体" w:hAnsi="宋体" w:hint="eastAsia"/>
          <w:szCs w:val="21"/>
          <w:shd w:val="clear" w:color="auto" w:fill="FFFFFF"/>
        </w:rPr>
        <w:t>占比</w:t>
      </w:r>
      <w:r>
        <w:rPr>
          <w:rStyle w:val="DefaultParagraphFont"/>
          <w:rFonts w:ascii="宋体" w:hAnsi="宋体"/>
          <w:szCs w:val="21"/>
          <w:shd w:val="clear" w:color="auto" w:fill="FFFFFF"/>
        </w:rPr>
        <w:t>结果</w:t>
      </w:r>
      <w:r>
        <w:rPr>
          <w:rStyle w:val="DefaultParagraphFont"/>
          <w:rFonts w:ascii="宋体" w:hAnsi="宋体" w:hint="eastAsia"/>
          <w:szCs w:val="21"/>
          <w:shd w:val="clear" w:color="auto" w:fill="FFFFFF"/>
        </w:rPr>
        <w:t>保留两位小数（因第二位小数四舍五入，可能存在尾差）。</w:t>
      </w:r>
    </w:p>
    <w:p w:rsidR="008D77ED" w:rsidRPr="0071237C" w:rsidP="0071237C">
      <w:pPr>
        <w:pStyle w:val="Heading2"/>
        <w:rPr>
          <w:sz w:val="24"/>
          <w:szCs w:val="24"/>
          <w:shd w:val="clear" w:color="auto" w:fill="FFFFFF"/>
        </w:rPr>
      </w:pPr>
      <w:bookmarkStart w:id="21" w:name="_Toc256000013"/>
      <w:r w:rsidRPr="0071237C">
        <w:rPr>
          <w:sz w:val="24"/>
          <w:szCs w:val="24"/>
          <w:shd w:val="clear" w:color="auto" w:fill="FFFFFF"/>
        </w:rPr>
        <w:t>5</w:t>
      </w:r>
      <w:r w:rsidRPr="0071237C">
        <w:rPr>
          <w:rFonts w:hint="eastAsia"/>
          <w:sz w:val="24"/>
          <w:szCs w:val="24"/>
          <w:shd w:val="clear" w:color="auto" w:fill="FFFFFF"/>
        </w:rPr>
        <w:t>.3 报告期末非标准化债权类资产信息</w:t>
      </w:r>
      <w:bookmarkEnd w:id="21"/>
    </w:p>
    <w:tbl>
      <w:tblPr>
        <w:tblStyle w:val="TableGrid"/>
        <w:tblW w:w="8926" w:type="dxa"/>
        <w:tblLook w:val="04A0"/>
      </w:tblPr>
      <w:tblGrid>
        <w:gridCol w:w="2122"/>
        <w:gridCol w:w="1701"/>
        <w:gridCol w:w="2126"/>
        <w:gridCol w:w="1417"/>
        <w:gridCol w:w="1560"/>
      </w:tblGrid>
      <w:tr w:rsidTr="00905872">
        <w:tblPrEx>
          <w:tblW w:w="8926" w:type="dxa"/>
          <w:tblLook w:val="04A0"/>
        </w:tblPrEx>
        <w:tc>
          <w:tcPr>
            <w:tcW w:w="2122" w:type="dxa"/>
            <w:shd w:val="clear" w:color="auto" w:fill="BFBFBF" w:themeFill="background1" w:themeFillShade="BF"/>
            <w:vAlign w:val="center"/>
          </w:tcPr>
          <w:p w:rsidR="000133EF" w:rsidRPr="00085A6E" w:rsidP="00905872">
            <w:pPr>
              <w:widowControl/>
              <w:jc w:val="center"/>
              <w:rPr>
                <w:rFonts w:ascii="宋体" w:hAnsi="宋体" w:cs="宋体"/>
                <w:b/>
                <w:szCs w:val="21"/>
              </w:rPr>
            </w:pPr>
            <w:r w:rsidRPr="00B53D88">
              <w:rPr>
                <w:rFonts w:ascii="宋体" w:hAnsi="宋体" w:cs="宋体" w:hint="eastAsia"/>
                <w:b/>
                <w:szCs w:val="21"/>
              </w:rPr>
              <w:t>资产名称</w:t>
            </w:r>
          </w:p>
        </w:tc>
        <w:tc>
          <w:tcPr>
            <w:tcW w:w="1701" w:type="dxa"/>
            <w:shd w:val="clear" w:color="auto" w:fill="BFBFBF" w:themeFill="background1" w:themeFillShade="BF"/>
            <w:vAlign w:val="center"/>
          </w:tcPr>
          <w:p w:rsidR="000133EF" w:rsidRPr="00B53D88" w:rsidP="00905872">
            <w:pPr>
              <w:widowControl/>
              <w:jc w:val="center"/>
              <w:rPr>
                <w:rFonts w:ascii="宋体" w:hAnsi="宋体" w:cs="宋体"/>
                <w:b/>
                <w:szCs w:val="21"/>
              </w:rPr>
            </w:pPr>
            <w:r w:rsidRPr="00B53D88">
              <w:rPr>
                <w:rFonts w:ascii="宋体" w:hAnsi="宋体" w:cs="宋体" w:hint="eastAsia"/>
                <w:b/>
                <w:szCs w:val="21"/>
              </w:rPr>
              <w:t>融资客户名称</w:t>
            </w:r>
          </w:p>
        </w:tc>
        <w:tc>
          <w:tcPr>
            <w:tcW w:w="2126" w:type="dxa"/>
            <w:shd w:val="clear" w:color="auto" w:fill="BFBFBF" w:themeFill="background1" w:themeFillShade="BF"/>
            <w:vAlign w:val="center"/>
          </w:tcPr>
          <w:p w:rsidR="000133EF" w:rsidRPr="00B53D88" w:rsidP="00905872">
            <w:pPr>
              <w:widowControl/>
              <w:jc w:val="center"/>
              <w:rPr>
                <w:rFonts w:ascii="宋体" w:hAnsi="宋体" w:cs="宋体"/>
                <w:b/>
                <w:szCs w:val="21"/>
              </w:rPr>
            </w:pPr>
            <w:r w:rsidRPr="00B53D88">
              <w:rPr>
                <w:rFonts w:ascii="宋体" w:hAnsi="宋体" w:cs="宋体" w:hint="eastAsia"/>
                <w:b/>
                <w:szCs w:val="21"/>
              </w:rPr>
              <w:t>项目剩余</w:t>
            </w:r>
          </w:p>
          <w:p w:rsidR="000133EF" w:rsidRPr="00B53D88" w:rsidP="00905872">
            <w:pPr>
              <w:widowControl/>
              <w:jc w:val="center"/>
              <w:rPr>
                <w:rFonts w:ascii="宋体" w:hAnsi="宋体" w:cs="宋体"/>
                <w:b/>
                <w:szCs w:val="21"/>
              </w:rPr>
            </w:pPr>
            <w:r w:rsidRPr="00B53D88">
              <w:rPr>
                <w:rFonts w:ascii="宋体" w:hAnsi="宋体" w:cs="宋体" w:hint="eastAsia"/>
                <w:b/>
                <w:szCs w:val="21"/>
              </w:rPr>
              <w:t>融资期限</w:t>
            </w:r>
          </w:p>
          <w:p w:rsidR="000133EF" w:rsidRPr="00085A6E" w:rsidP="00905872">
            <w:pPr>
              <w:widowControl/>
              <w:jc w:val="center"/>
              <w:rPr>
                <w:rFonts w:ascii="宋体" w:hAnsi="宋体" w:cs="宋体"/>
                <w:b/>
                <w:szCs w:val="21"/>
              </w:rPr>
            </w:pPr>
            <w:r w:rsidRPr="00B53D88">
              <w:rPr>
                <w:rFonts w:ascii="宋体" w:hAnsi="宋体" w:cs="宋体" w:hint="eastAsia"/>
                <w:b/>
                <w:szCs w:val="21"/>
              </w:rPr>
              <w:t>（单位：天）</w:t>
            </w:r>
          </w:p>
        </w:tc>
        <w:tc>
          <w:tcPr>
            <w:tcW w:w="1417" w:type="dxa"/>
            <w:shd w:val="clear" w:color="auto" w:fill="BFBFBF" w:themeFill="background1" w:themeFillShade="BF"/>
            <w:vAlign w:val="center"/>
          </w:tcPr>
          <w:p w:rsidR="000133EF" w:rsidRPr="00085A6E" w:rsidP="00905872">
            <w:pPr>
              <w:widowControl/>
              <w:jc w:val="center"/>
              <w:rPr>
                <w:rFonts w:ascii="宋体" w:hAnsi="宋体" w:cs="宋体"/>
                <w:b/>
                <w:szCs w:val="21"/>
              </w:rPr>
            </w:pPr>
            <w:r w:rsidRPr="00B53D88">
              <w:rPr>
                <w:rFonts w:ascii="宋体" w:hAnsi="宋体" w:cs="宋体" w:hint="eastAsia"/>
                <w:b/>
                <w:szCs w:val="21"/>
              </w:rPr>
              <w:t>交易</w:t>
            </w:r>
            <w:r w:rsidRPr="00B53D88">
              <w:rPr>
                <w:rFonts w:ascii="宋体" w:hAnsi="宋体" w:cs="宋体"/>
                <w:b/>
                <w:szCs w:val="21"/>
              </w:rPr>
              <w:t>结构</w:t>
            </w:r>
          </w:p>
        </w:tc>
        <w:tc>
          <w:tcPr>
            <w:tcW w:w="1560" w:type="dxa"/>
            <w:shd w:val="clear" w:color="auto" w:fill="BFBFBF" w:themeFill="background1" w:themeFillShade="BF"/>
            <w:vAlign w:val="center"/>
          </w:tcPr>
          <w:p w:rsidR="000133EF" w:rsidRPr="00085A6E" w:rsidP="00905872">
            <w:pPr>
              <w:widowControl/>
              <w:jc w:val="center"/>
              <w:rPr>
                <w:rFonts w:ascii="宋体" w:hAnsi="宋体" w:cs="宋体"/>
                <w:b/>
                <w:szCs w:val="21"/>
              </w:rPr>
            </w:pPr>
            <w:r w:rsidRPr="00085A6E">
              <w:rPr>
                <w:rFonts w:ascii="宋体" w:hAnsi="宋体" w:cs="宋体" w:hint="eastAsia"/>
                <w:b/>
                <w:szCs w:val="21"/>
              </w:rPr>
              <w:t>风险状况</w:t>
            </w:r>
          </w:p>
        </w:tc>
      </w:tr>
      <w:tr w:rsidTr="00905872">
        <w:tblPrEx>
          <w:tblW w:w="8926" w:type="dxa"/>
          <w:tblLook w:val="04A0"/>
        </w:tblPrEx>
        <w:trPr>
          <w:trHeight w:val="432"/>
        </w:trPr>
        <w:tc>
          <w:tcPr>
            <w:tcW w:w="2122" w:type="dxa"/>
            <w:vAlign w:val="center"/>
          </w:tcPr>
          <w:p>
            <w:pPr>
              <w:ind w:left="-1" w:right="-1"/>
              <w:jc w:val="center"/>
            </w:pPr>
            <w:r>
              <w:rPr>
                <w:rFonts w:ascii="宋体" w:eastAsia="宋体" w:hAnsi="宋体" w:cs="宋体"/>
                <w:b w:val="0"/>
                <w:i w:val="0"/>
                <w:color w:val="000000"/>
                <w:spacing w:val="0"/>
                <w:position w:val="-1"/>
                <w:u w:val="none"/>
                <w:vertAlign w:val="baseline"/>
              </w:rPr>
              <w:t>-</w:t>
            </w:r>
          </w:p>
        </w:tc>
        <w:tc>
          <w:tcPr>
            <w:tcW w:w="1701" w:type="dxa"/>
            <w:vAlign w:val="center"/>
          </w:tcPr>
          <w:p>
            <w:pPr>
              <w:ind w:left="-1" w:right="-1"/>
              <w:jc w:val="center"/>
            </w:pPr>
            <w:r>
              <w:rPr>
                <w:rFonts w:ascii="宋体" w:eastAsia="宋体" w:hAnsi="宋体" w:cs="宋体"/>
                <w:b w:val="0"/>
                <w:i w:val="0"/>
                <w:color w:val="000000"/>
                <w:spacing w:val="0"/>
                <w:position w:val="-1"/>
                <w:u w:val="none"/>
                <w:vertAlign w:val="baseline"/>
              </w:rPr>
              <w:t>-</w:t>
            </w:r>
          </w:p>
        </w:tc>
        <w:tc>
          <w:tcPr>
            <w:tcW w:w="2126" w:type="dxa"/>
            <w:vAlign w:val="center"/>
          </w:tcPr>
          <w:p>
            <w:pPr>
              <w:ind w:left="-1" w:right="-1"/>
              <w:jc w:val="center"/>
            </w:pPr>
            <w:r>
              <w:rPr>
                <w:rFonts w:ascii="宋体" w:eastAsia="宋体" w:hAnsi="宋体" w:cs="宋体"/>
                <w:b w:val="0"/>
                <w:i w:val="0"/>
                <w:color w:val="000000"/>
                <w:spacing w:val="0"/>
                <w:position w:val="-1"/>
                <w:u w:val="none"/>
                <w:vertAlign w:val="baseline"/>
              </w:rPr>
              <w:t>-</w:t>
            </w:r>
          </w:p>
        </w:tc>
        <w:tc>
          <w:tcPr>
            <w:tcW w:w="1417" w:type="dxa"/>
            <w:vAlign w:val="center"/>
          </w:tcPr>
          <w:p>
            <w:pPr>
              <w:ind w:left="-1" w:right="-1"/>
              <w:jc w:val="center"/>
            </w:pPr>
            <w:r>
              <w:rPr>
                <w:rFonts w:ascii="宋体" w:eastAsia="宋体" w:hAnsi="宋体" w:cs="宋体"/>
                <w:b w:val="0"/>
                <w:i w:val="0"/>
                <w:color w:val="000000"/>
                <w:spacing w:val="0"/>
                <w:position w:val="-1"/>
                <w:u w:val="none"/>
                <w:vertAlign w:val="baseline"/>
              </w:rPr>
              <w:t>-</w:t>
            </w:r>
          </w:p>
        </w:tc>
        <w:tc>
          <w:tcPr>
            <w:tcW w:w="1560" w:type="dxa"/>
            <w:vAlign w:val="center"/>
          </w:tcPr>
          <w:p>
            <w:pPr>
              <w:ind w:left="-1" w:right="-1"/>
              <w:jc w:val="center"/>
            </w:pPr>
            <w:r>
              <w:rPr>
                <w:rFonts w:ascii="宋体" w:eastAsia="宋体" w:hAnsi="宋体" w:cs="宋体"/>
                <w:b w:val="0"/>
                <w:i w:val="0"/>
                <w:color w:val="000000"/>
                <w:spacing w:val="0"/>
                <w:position w:val="-1"/>
                <w:u w:val="none"/>
                <w:vertAlign w:val="baseline"/>
              </w:rPr>
              <w:t>-</w:t>
            </w:r>
          </w:p>
        </w:tc>
      </w:tr>
    </w:tbl>
    <w:p w:rsidR="008D77ED" w:rsidP="008D77ED">
      <w:pPr>
        <w:rPr>
          <w:shd w:val="clear" w:color="auto" w:fill="FFFFFF"/>
        </w:rPr>
      </w:pPr>
      <w:r w:rsidRPr="00604EA3">
        <w:rPr>
          <w:rFonts w:hint="eastAsia"/>
          <w:shd w:val="clear" w:color="auto" w:fill="FFFFFF"/>
        </w:rPr>
        <w:t>注</w:t>
      </w:r>
      <w:r w:rsidR="00BF5002">
        <w:rPr>
          <w:rFonts w:hint="eastAsia"/>
          <w:shd w:val="clear" w:color="auto" w:fill="FFFFFF"/>
        </w:rPr>
        <w:t>：</w:t>
      </w:r>
      <w:r w:rsidRPr="00604EA3">
        <w:rPr>
          <w:rFonts w:hint="eastAsia"/>
          <w:shd w:val="clear" w:color="auto" w:fill="FFFFFF"/>
        </w:rPr>
        <w:t>项目剩余融资期限为非标准化债权类资产自报告期末至项目结束之间的期限，如该笔资产在报</w:t>
      </w:r>
      <w:r w:rsidRPr="00604EA3">
        <w:rPr>
          <w:rFonts w:hint="eastAsia"/>
          <w:shd w:val="clear" w:color="auto" w:fill="FFFFFF"/>
        </w:rPr>
        <w:t>告期内已到期或已卖出，则显示为“</w:t>
      </w:r>
      <w:r w:rsidRPr="00604EA3">
        <w:rPr>
          <w:rFonts w:hint="eastAsia"/>
          <w:shd w:val="clear" w:color="auto" w:fill="FFFFFF"/>
        </w:rPr>
        <w:t>-</w:t>
      </w:r>
      <w:r w:rsidRPr="00604EA3">
        <w:rPr>
          <w:rFonts w:hint="eastAsia"/>
          <w:shd w:val="clear" w:color="auto" w:fill="FFFFFF"/>
        </w:rPr>
        <w:t>”。</w:t>
      </w:r>
    </w:p>
    <w:p w:rsidR="008D77ED" w:rsidRPr="0071237C" w:rsidP="0071237C">
      <w:pPr>
        <w:pStyle w:val="Heading2"/>
        <w:rPr>
          <w:sz w:val="24"/>
          <w:szCs w:val="24"/>
          <w:shd w:val="clear" w:color="auto" w:fill="FFFFFF"/>
        </w:rPr>
      </w:pPr>
      <w:bookmarkStart w:id="22" w:name="_Toc96614799"/>
      <w:bookmarkStart w:id="23" w:name="_Toc256000014"/>
      <w:r w:rsidRPr="0071237C">
        <w:rPr>
          <w:sz w:val="24"/>
          <w:szCs w:val="24"/>
          <w:shd w:val="clear" w:color="auto" w:fill="FFFFFF"/>
        </w:rPr>
        <w:t>5</w:t>
      </w:r>
      <w:r w:rsidRPr="0071237C">
        <w:rPr>
          <w:rFonts w:hint="eastAsia"/>
          <w:sz w:val="24"/>
          <w:szCs w:val="24"/>
          <w:shd w:val="clear" w:color="auto" w:fill="FFFFFF"/>
        </w:rPr>
        <w:t>.</w:t>
      </w:r>
      <w:r w:rsidRPr="0071237C">
        <w:rPr>
          <w:sz w:val="24"/>
          <w:szCs w:val="24"/>
          <w:shd w:val="clear" w:color="auto" w:fill="FFFFFF"/>
        </w:rPr>
        <w:t>4</w:t>
      </w:r>
      <w:r w:rsidRPr="0071237C">
        <w:rPr>
          <w:rFonts w:hint="eastAsia"/>
          <w:sz w:val="24"/>
          <w:szCs w:val="24"/>
          <w:shd w:val="clear" w:color="auto" w:fill="FFFFFF"/>
        </w:rPr>
        <w:t xml:space="preserve"> 报告期</w:t>
      </w:r>
      <w:r w:rsidRPr="0071237C">
        <w:rPr>
          <w:sz w:val="24"/>
          <w:szCs w:val="24"/>
          <w:shd w:val="clear" w:color="auto" w:fill="FFFFFF"/>
        </w:rPr>
        <w:t>内</w:t>
      </w:r>
      <w:r w:rsidRPr="0071237C">
        <w:rPr>
          <w:rFonts w:hint="eastAsia"/>
          <w:sz w:val="24"/>
          <w:szCs w:val="24"/>
          <w:shd w:val="clear" w:color="auto" w:fill="FFFFFF"/>
        </w:rPr>
        <w:t>到期</w:t>
      </w:r>
      <w:r w:rsidRPr="0071237C">
        <w:rPr>
          <w:sz w:val="24"/>
          <w:szCs w:val="24"/>
          <w:shd w:val="clear" w:color="auto" w:fill="FFFFFF"/>
        </w:rPr>
        <w:t>的</w:t>
      </w:r>
      <w:r w:rsidRPr="0071237C">
        <w:rPr>
          <w:rFonts w:hint="eastAsia"/>
          <w:sz w:val="24"/>
          <w:szCs w:val="24"/>
          <w:shd w:val="clear" w:color="auto" w:fill="FFFFFF"/>
        </w:rPr>
        <w:t>非标准化</w:t>
      </w:r>
      <w:r w:rsidRPr="0071237C">
        <w:rPr>
          <w:sz w:val="24"/>
          <w:szCs w:val="24"/>
          <w:shd w:val="clear" w:color="auto" w:fill="FFFFFF"/>
        </w:rPr>
        <w:t>债权类资产及收益情况</w:t>
      </w:r>
      <w:bookmarkEnd w:id="23"/>
      <w:bookmarkEnd w:id="22"/>
    </w:p>
    <w:tbl>
      <w:tblPr>
        <w:tblStyle w:val="TableGrid"/>
        <w:tblW w:w="9060" w:type="dxa"/>
        <w:tblLook w:val="04A0"/>
      </w:tblPr>
      <w:tblGrid>
        <w:gridCol w:w="1953"/>
        <w:gridCol w:w="1188"/>
        <w:gridCol w:w="1543"/>
        <w:gridCol w:w="1123"/>
        <w:gridCol w:w="1133"/>
        <w:gridCol w:w="2120"/>
      </w:tblGrid>
      <w:tr w:rsidTr="00291DB1">
        <w:tblPrEx>
          <w:tblW w:w="9060" w:type="dxa"/>
          <w:tblLook w:val="04A0"/>
        </w:tblPrEx>
        <w:tc>
          <w:tcPr>
            <w:tcW w:w="1953" w:type="dxa"/>
            <w:shd w:val="clear" w:color="auto" w:fill="BFBFBF" w:themeFill="background1" w:themeFillShade="BF"/>
            <w:vAlign w:val="center"/>
          </w:tcPr>
          <w:p w:rsidR="00EF0D0E" w:rsidRPr="00085A6E" w:rsidP="00E553B0">
            <w:pPr>
              <w:widowControl/>
              <w:jc w:val="center"/>
              <w:rPr>
                <w:rFonts w:ascii="宋体" w:hAnsi="宋体" w:cs="宋体"/>
                <w:b/>
                <w:szCs w:val="21"/>
              </w:rPr>
            </w:pPr>
            <w:r w:rsidRPr="00B53D88">
              <w:rPr>
                <w:rFonts w:ascii="宋体" w:hAnsi="宋体" w:cs="宋体" w:hint="eastAsia"/>
                <w:b/>
                <w:szCs w:val="21"/>
              </w:rPr>
              <w:t>资产名称</w:t>
            </w:r>
          </w:p>
        </w:tc>
        <w:tc>
          <w:tcPr>
            <w:tcW w:w="1188" w:type="dxa"/>
            <w:shd w:val="clear" w:color="auto" w:fill="BFBFBF" w:themeFill="background1" w:themeFillShade="BF"/>
            <w:vAlign w:val="center"/>
          </w:tcPr>
          <w:p w:rsidR="00EF0D0E" w:rsidRPr="00B53D88" w:rsidP="00E553B0">
            <w:pPr>
              <w:widowControl/>
              <w:jc w:val="center"/>
              <w:rPr>
                <w:rFonts w:ascii="宋体" w:hAnsi="宋体" w:cs="宋体"/>
                <w:b/>
                <w:szCs w:val="21"/>
              </w:rPr>
            </w:pPr>
            <w:r w:rsidRPr="00B53D88">
              <w:rPr>
                <w:rFonts w:ascii="宋体" w:hAnsi="宋体" w:cs="宋体" w:hint="eastAsia"/>
                <w:b/>
                <w:szCs w:val="21"/>
              </w:rPr>
              <w:t>融资客户名称</w:t>
            </w:r>
          </w:p>
        </w:tc>
        <w:tc>
          <w:tcPr>
            <w:tcW w:w="1543" w:type="dxa"/>
            <w:shd w:val="clear" w:color="auto" w:fill="BFBFBF" w:themeFill="background1" w:themeFillShade="BF"/>
            <w:vAlign w:val="center"/>
          </w:tcPr>
          <w:p w:rsidR="00EF0D0E" w:rsidRPr="00B53D88" w:rsidP="00E553B0">
            <w:pPr>
              <w:widowControl/>
              <w:jc w:val="center"/>
              <w:rPr>
                <w:rFonts w:ascii="宋体" w:hAnsi="宋体" w:cs="宋体"/>
                <w:b/>
                <w:szCs w:val="21"/>
              </w:rPr>
            </w:pPr>
            <w:r w:rsidRPr="00B53D88">
              <w:rPr>
                <w:rFonts w:ascii="宋体" w:hAnsi="宋体" w:cs="宋体" w:hint="eastAsia"/>
                <w:b/>
                <w:szCs w:val="21"/>
              </w:rPr>
              <w:t>项目剩余融资期限</w:t>
            </w:r>
          </w:p>
          <w:p w:rsidR="00EF0D0E" w:rsidRPr="00085A6E" w:rsidP="00E553B0">
            <w:pPr>
              <w:widowControl/>
              <w:jc w:val="center"/>
              <w:rPr>
                <w:rFonts w:ascii="宋体" w:hAnsi="宋体" w:cs="宋体"/>
                <w:b/>
                <w:szCs w:val="21"/>
              </w:rPr>
            </w:pPr>
            <w:r w:rsidRPr="00B53D88">
              <w:rPr>
                <w:rFonts w:ascii="宋体" w:hAnsi="宋体" w:cs="宋体" w:hint="eastAsia"/>
                <w:b/>
                <w:szCs w:val="21"/>
              </w:rPr>
              <w:t>（单位：天）</w:t>
            </w:r>
          </w:p>
        </w:tc>
        <w:tc>
          <w:tcPr>
            <w:tcW w:w="1123" w:type="dxa"/>
            <w:shd w:val="clear" w:color="auto" w:fill="BFBFBF" w:themeFill="background1" w:themeFillShade="BF"/>
            <w:vAlign w:val="center"/>
          </w:tcPr>
          <w:p w:rsidR="00EF0D0E" w:rsidRPr="00085A6E" w:rsidP="00E553B0">
            <w:pPr>
              <w:widowControl/>
              <w:jc w:val="center"/>
              <w:rPr>
                <w:rFonts w:ascii="宋体" w:hAnsi="宋体" w:cs="宋体"/>
                <w:b/>
                <w:szCs w:val="21"/>
              </w:rPr>
            </w:pPr>
            <w:r w:rsidRPr="00B53D88">
              <w:rPr>
                <w:rFonts w:ascii="宋体" w:hAnsi="宋体" w:cs="宋体" w:hint="eastAsia"/>
                <w:b/>
                <w:szCs w:val="21"/>
              </w:rPr>
              <w:t>交易</w:t>
            </w:r>
            <w:r w:rsidRPr="00B53D88">
              <w:rPr>
                <w:rFonts w:ascii="宋体" w:hAnsi="宋体" w:cs="宋体"/>
                <w:b/>
                <w:szCs w:val="21"/>
              </w:rPr>
              <w:t>结构</w:t>
            </w:r>
          </w:p>
        </w:tc>
        <w:tc>
          <w:tcPr>
            <w:tcW w:w="1133" w:type="dxa"/>
            <w:shd w:val="clear" w:color="auto" w:fill="BFBFBF" w:themeFill="background1" w:themeFillShade="BF"/>
            <w:vAlign w:val="center"/>
          </w:tcPr>
          <w:p w:rsidR="00EF0D0E" w:rsidRPr="00085A6E" w:rsidP="00E553B0">
            <w:pPr>
              <w:widowControl/>
              <w:jc w:val="center"/>
              <w:rPr>
                <w:rFonts w:ascii="宋体" w:hAnsi="宋体" w:cs="宋体"/>
                <w:b/>
                <w:szCs w:val="21"/>
              </w:rPr>
            </w:pPr>
            <w:r w:rsidRPr="00085A6E">
              <w:rPr>
                <w:rFonts w:ascii="宋体" w:hAnsi="宋体" w:cs="宋体" w:hint="eastAsia"/>
                <w:b/>
                <w:szCs w:val="21"/>
              </w:rPr>
              <w:t>风险状况</w:t>
            </w:r>
          </w:p>
        </w:tc>
        <w:tc>
          <w:tcPr>
            <w:tcW w:w="2120" w:type="dxa"/>
            <w:shd w:val="clear" w:color="auto" w:fill="BFBFBF" w:themeFill="background1" w:themeFillShade="BF"/>
            <w:vAlign w:val="center"/>
          </w:tcPr>
          <w:p w:rsidR="00291DB1" w:rsidP="00291DB1">
            <w:pPr>
              <w:widowControl/>
              <w:jc w:val="center"/>
              <w:rPr>
                <w:rFonts w:ascii="宋体" w:hAnsi="宋体" w:cs="宋体"/>
                <w:b/>
                <w:szCs w:val="21"/>
              </w:rPr>
            </w:pPr>
            <w:r w:rsidRPr="00AE53EF">
              <w:rPr>
                <w:rFonts w:ascii="宋体" w:hAnsi="宋体" w:cs="宋体" w:hint="eastAsia"/>
                <w:b/>
                <w:szCs w:val="21"/>
              </w:rPr>
              <w:t>投资收益</w:t>
            </w:r>
          </w:p>
          <w:p w:rsidR="00EF0D0E" w:rsidRPr="00085A6E" w:rsidP="00291DB1">
            <w:pPr>
              <w:widowControl/>
              <w:jc w:val="center"/>
              <w:rPr>
                <w:rFonts w:ascii="宋体" w:hAnsi="宋体" w:cs="宋体"/>
                <w:b/>
                <w:szCs w:val="21"/>
              </w:rPr>
            </w:pPr>
            <w:r w:rsidRPr="00AE53EF">
              <w:rPr>
                <w:rFonts w:ascii="宋体" w:hAnsi="宋体" w:cs="宋体" w:hint="eastAsia"/>
                <w:b/>
                <w:szCs w:val="21"/>
              </w:rPr>
              <w:t>（单位：</w:t>
            </w:r>
            <w:r>
              <w:rPr>
                <w:rFonts w:ascii="宋体" w:eastAsia="宋体" w:hAnsi="宋体" w:cs="宋体"/>
                <w:b/>
                <w:i w:val="0"/>
                <w:color w:val="000000"/>
                <w:position w:val="-1"/>
                <w:u w:val="none"/>
              </w:rPr>
              <w:t>元</w:t>
            </w:r>
            <w:r w:rsidRPr="00AE53EF">
              <w:rPr>
                <w:rFonts w:ascii="宋体" w:hAnsi="宋体" w:cs="宋体" w:hint="eastAsia"/>
                <w:b/>
                <w:szCs w:val="21"/>
              </w:rPr>
              <w:t>）</w:t>
            </w:r>
          </w:p>
        </w:tc>
      </w:tr>
      <w:tr w:rsidTr="008709AE">
        <w:tblPrEx>
          <w:tblW w:w="9060" w:type="dxa"/>
          <w:tblLook w:val="04A0"/>
        </w:tblPrEx>
        <w:trPr>
          <w:trHeight w:val="431"/>
        </w:trPr>
        <w:tc>
          <w:tcPr>
            <w:tcW w:w="1953" w:type="dxa"/>
            <w:vAlign w:val="center"/>
          </w:tcPr>
          <w:p>
            <w:pPr>
              <w:ind w:left="-1" w:right="-1"/>
              <w:jc w:val="center"/>
            </w:pPr>
            <w:r>
              <w:rPr>
                <w:rFonts w:ascii="宋体" w:eastAsia="宋体" w:hAnsi="宋体" w:cs="宋体"/>
                <w:b w:val="0"/>
                <w:i w:val="0"/>
                <w:color w:val="000000"/>
                <w:spacing w:val="0"/>
                <w:position w:val="-1"/>
                <w:u w:val="none"/>
                <w:vertAlign w:val="baseline"/>
              </w:rPr>
              <w:t>-</w:t>
            </w:r>
          </w:p>
        </w:tc>
        <w:tc>
          <w:tcPr>
            <w:tcW w:w="1188" w:type="dxa"/>
            <w:vAlign w:val="center"/>
          </w:tcPr>
          <w:p>
            <w:pPr>
              <w:ind w:left="-1" w:right="-1"/>
              <w:jc w:val="center"/>
            </w:pPr>
            <w:r>
              <w:rPr>
                <w:rFonts w:ascii="宋体" w:eastAsia="宋体" w:hAnsi="宋体" w:cs="宋体"/>
                <w:b w:val="0"/>
                <w:i w:val="0"/>
                <w:color w:val="000000"/>
                <w:spacing w:val="0"/>
                <w:position w:val="-1"/>
                <w:u w:val="none"/>
                <w:vertAlign w:val="baseline"/>
              </w:rPr>
              <w:t>-</w:t>
            </w:r>
          </w:p>
        </w:tc>
        <w:tc>
          <w:tcPr>
            <w:tcW w:w="1543" w:type="dxa"/>
            <w:vAlign w:val="center"/>
          </w:tcPr>
          <w:p>
            <w:pPr>
              <w:ind w:left="-1" w:right="-1"/>
              <w:jc w:val="center"/>
            </w:pPr>
            <w:r>
              <w:rPr>
                <w:rFonts w:ascii="宋体" w:eastAsia="宋体" w:hAnsi="宋体" w:cs="宋体"/>
                <w:b w:val="0"/>
                <w:i w:val="0"/>
                <w:color w:val="000000"/>
                <w:spacing w:val="0"/>
                <w:position w:val="-1"/>
                <w:u w:val="none"/>
                <w:vertAlign w:val="baseline"/>
              </w:rPr>
              <w:t>-</w:t>
            </w:r>
          </w:p>
        </w:tc>
        <w:tc>
          <w:tcPr>
            <w:tcW w:w="1123" w:type="dxa"/>
            <w:vAlign w:val="center"/>
          </w:tcPr>
          <w:p>
            <w:pPr>
              <w:ind w:left="-1" w:right="-1"/>
              <w:jc w:val="center"/>
            </w:pPr>
            <w:r>
              <w:rPr>
                <w:rFonts w:ascii="宋体" w:eastAsia="宋体" w:hAnsi="宋体" w:cs="宋体"/>
                <w:b w:val="0"/>
                <w:i w:val="0"/>
                <w:color w:val="000000"/>
                <w:spacing w:val="0"/>
                <w:position w:val="-1"/>
                <w:u w:val="none"/>
                <w:vertAlign w:val="baseline"/>
              </w:rPr>
              <w:t>-</w:t>
            </w:r>
          </w:p>
        </w:tc>
        <w:tc>
          <w:tcPr>
            <w:tcW w:w="1133" w:type="dxa"/>
            <w:vAlign w:val="center"/>
          </w:tcPr>
          <w:p>
            <w:pPr>
              <w:ind w:left="-1" w:right="-1"/>
              <w:jc w:val="center"/>
            </w:pPr>
            <w:r>
              <w:rPr>
                <w:rFonts w:ascii="宋体" w:eastAsia="宋体" w:hAnsi="宋体" w:cs="宋体"/>
                <w:b w:val="0"/>
                <w:i w:val="0"/>
                <w:color w:val="000000"/>
                <w:spacing w:val="0"/>
                <w:position w:val="-1"/>
                <w:u w:val="none"/>
                <w:vertAlign w:val="baseline"/>
              </w:rPr>
              <w:t>-</w:t>
            </w:r>
          </w:p>
        </w:tc>
        <w:tc>
          <w:tcPr>
            <w:tcW w:w="2120" w:type="dxa"/>
            <w:vAlign w:val="center"/>
          </w:tcPr>
          <w:p>
            <w:pPr>
              <w:ind w:left="-1" w:right="-1"/>
              <w:jc w:val="center"/>
            </w:pPr>
            <w:r>
              <w:rPr>
                <w:rFonts w:ascii="宋体" w:eastAsia="宋体" w:hAnsi="宋体" w:cs="宋体"/>
                <w:b w:val="0"/>
                <w:i w:val="0"/>
                <w:color w:val="000000"/>
                <w:spacing w:val="0"/>
                <w:position w:val="-1"/>
                <w:u w:val="none"/>
                <w:vertAlign w:val="baseline"/>
              </w:rPr>
              <w:t>-</w:t>
            </w:r>
          </w:p>
        </w:tc>
      </w:tr>
    </w:tbl>
    <w:p w:rsidR="00EF0D0E" w:rsidP="00EF0D0E">
      <w:pPr>
        <w:rPr>
          <w:shd w:val="clear" w:color="auto" w:fill="FFFFFF"/>
        </w:rPr>
      </w:pPr>
      <w:r w:rsidRPr="008535C8">
        <w:rPr>
          <w:rFonts w:hint="eastAsia"/>
          <w:shd w:val="clear" w:color="auto" w:fill="FFFFFF"/>
        </w:rPr>
        <w:t>注</w:t>
      </w:r>
      <w:r>
        <w:rPr>
          <w:rFonts w:hint="eastAsia"/>
          <w:shd w:val="clear" w:color="auto" w:fill="FFFFFF"/>
        </w:rPr>
        <w:t>：</w:t>
      </w:r>
    </w:p>
    <w:p w:rsidR="00EF0D0E" w:rsidP="00EF0D0E">
      <w:pPr>
        <w:rPr>
          <w:shd w:val="clear" w:color="auto" w:fill="FFFFFF"/>
        </w:rPr>
      </w:pPr>
      <w:r>
        <w:rPr>
          <w:rFonts w:ascii="宋体" w:hAnsi="宋体" w:hint="eastAsia"/>
          <w:szCs w:val="21"/>
          <w:shd w:val="clear" w:color="auto" w:fill="FFFFFF"/>
        </w:rPr>
        <w:t>1</w:t>
      </w:r>
      <w:r>
        <w:rPr>
          <w:rFonts w:ascii="宋体" w:hAnsi="宋体"/>
          <w:szCs w:val="21"/>
          <w:shd w:val="clear" w:color="auto" w:fill="FFFFFF"/>
        </w:rPr>
        <w:t>.</w:t>
      </w:r>
      <w:r w:rsidRPr="008535C8">
        <w:rPr>
          <w:rFonts w:hint="eastAsia"/>
          <w:shd w:val="clear" w:color="auto" w:fill="FFFFFF"/>
        </w:rPr>
        <w:t>项目剩余融资期限为非标准化债权类资产自报告期末至项目结束之间的期限，如该笔资产在报告期内已到期或已卖出，则显示为“</w:t>
      </w:r>
      <w:r w:rsidRPr="008535C8">
        <w:rPr>
          <w:rFonts w:hint="eastAsia"/>
          <w:shd w:val="clear" w:color="auto" w:fill="FFFFFF"/>
        </w:rPr>
        <w:t>-</w:t>
      </w:r>
      <w:r w:rsidRPr="008535C8">
        <w:rPr>
          <w:rFonts w:hint="eastAsia"/>
          <w:shd w:val="clear" w:color="auto" w:fill="FFFFFF"/>
        </w:rPr>
        <w:t>”。</w:t>
      </w:r>
    </w:p>
    <w:p w:rsidR="00EF0D0E" w:rsidRPr="00AE53EF" w:rsidP="00EF0D0E">
      <w:pPr>
        <w:rPr>
          <w:shd w:val="clear" w:color="auto" w:fill="FFFFFF"/>
        </w:rPr>
      </w:pPr>
      <w:r>
        <w:rPr>
          <w:rFonts w:ascii="宋体" w:hAnsi="宋体" w:hint="eastAsia"/>
          <w:szCs w:val="21"/>
          <w:shd w:val="clear" w:color="auto" w:fill="FFFFFF"/>
        </w:rPr>
        <w:t>2</w:t>
      </w:r>
      <w:r>
        <w:rPr>
          <w:rFonts w:ascii="宋体" w:hAnsi="宋体"/>
          <w:szCs w:val="21"/>
          <w:shd w:val="clear" w:color="auto" w:fill="FFFFFF"/>
        </w:rPr>
        <w:t>.</w:t>
      </w:r>
      <w:r w:rsidRPr="00931AE2">
        <w:rPr>
          <w:shd w:val="clear" w:color="auto" w:fill="FFFFFF"/>
        </w:rPr>
        <w:t>投资收益为理财产品持有该笔资产期间</w:t>
      </w:r>
      <w:r w:rsidRPr="00931AE2">
        <w:rPr>
          <w:rFonts w:hint="eastAsia"/>
        </w:rPr>
        <w:t>的投资收益情况。</w:t>
      </w:r>
    </w:p>
    <w:p w:rsidR="008D77ED" w:rsidRPr="0071237C" w:rsidP="0071237C">
      <w:pPr>
        <w:pStyle w:val="Heading2"/>
        <w:rPr>
          <w:sz w:val="24"/>
          <w:szCs w:val="24"/>
          <w:shd w:val="clear" w:color="auto" w:fill="FFFFFF"/>
        </w:rPr>
      </w:pPr>
      <w:bookmarkStart w:id="24" w:name="_Toc256000015"/>
      <w:r w:rsidRPr="0071237C">
        <w:rPr>
          <w:sz w:val="24"/>
          <w:szCs w:val="24"/>
          <w:shd w:val="clear" w:color="auto" w:fill="FFFFFF"/>
        </w:rPr>
        <w:t>5</w:t>
      </w:r>
      <w:r w:rsidRPr="0071237C">
        <w:rPr>
          <w:rFonts w:hint="eastAsia"/>
          <w:sz w:val="24"/>
          <w:szCs w:val="24"/>
          <w:shd w:val="clear" w:color="auto" w:fill="FFFFFF"/>
        </w:rPr>
        <w:t>.</w:t>
      </w:r>
      <w:r w:rsidRPr="0071237C">
        <w:rPr>
          <w:sz w:val="24"/>
          <w:szCs w:val="24"/>
          <w:shd w:val="clear" w:color="auto" w:fill="FFFFFF"/>
        </w:rPr>
        <w:t>5</w:t>
      </w:r>
      <w:r w:rsidRPr="0071237C">
        <w:rPr>
          <w:rFonts w:hint="eastAsia"/>
          <w:sz w:val="24"/>
          <w:szCs w:val="24"/>
          <w:shd w:val="clear" w:color="auto" w:fill="FFFFFF"/>
        </w:rPr>
        <w:t xml:space="preserve"> 报告期末信贷资产收受益权资产信息</w:t>
      </w:r>
      <w:bookmarkEnd w:id="24"/>
    </w:p>
    <w:tbl>
      <w:tblPr>
        <w:tblW w:w="492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829"/>
        <w:gridCol w:w="2412"/>
        <w:gridCol w:w="3685"/>
      </w:tblGrid>
      <w:tr w:rsidTr="0071237C">
        <w:tblPrEx>
          <w:tblW w:w="492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465"/>
        </w:trPr>
        <w:tc>
          <w:tcPr>
            <w:tcW w:w="1585" w:type="pct"/>
            <w:shd w:val="clear" w:color="auto" w:fill="BFBFBF"/>
            <w:vAlign w:val="center"/>
            <w:hideMark/>
          </w:tcPr>
          <w:p w:rsidR="008D77ED" w:rsidRPr="004C7F8B" w:rsidP="00090C9E">
            <w:pPr>
              <w:widowControl/>
              <w:jc w:val="center"/>
              <w:rPr>
                <w:rFonts w:ascii="宋体" w:hAnsi="宋体" w:cs="宋体"/>
                <w:b/>
                <w:color w:val="333333"/>
                <w:kern w:val="0"/>
                <w:szCs w:val="21"/>
                <w:highlight w:val="lightGray"/>
                <w:shd w:val="clear" w:color="auto" w:fill="FFFFFF"/>
              </w:rPr>
            </w:pPr>
            <w:r>
              <w:rPr>
                <w:rFonts w:ascii="宋体" w:hAnsi="宋体" w:cs="宋体" w:hint="eastAsia"/>
                <w:b/>
                <w:szCs w:val="21"/>
              </w:rPr>
              <w:t>资产</w:t>
            </w:r>
            <w:r w:rsidRPr="004C7F8B">
              <w:rPr>
                <w:rFonts w:ascii="宋体" w:hAnsi="宋体" w:cs="宋体" w:hint="eastAsia"/>
                <w:b/>
                <w:szCs w:val="21"/>
              </w:rPr>
              <w:t>名称</w:t>
            </w:r>
          </w:p>
        </w:tc>
        <w:tc>
          <w:tcPr>
            <w:tcW w:w="1351" w:type="pct"/>
            <w:shd w:val="clear" w:color="auto" w:fill="BFBFBF"/>
            <w:vAlign w:val="center"/>
            <w:hideMark/>
          </w:tcPr>
          <w:p w:rsidR="008D77ED" w:rsidRPr="004C7F8B" w:rsidP="00090C9E">
            <w:pPr>
              <w:widowControl/>
              <w:jc w:val="center"/>
              <w:rPr>
                <w:rFonts w:ascii="宋体" w:hAnsi="宋体" w:cs="宋体"/>
                <w:b/>
                <w:color w:val="333333"/>
                <w:kern w:val="0"/>
                <w:szCs w:val="21"/>
                <w:highlight w:val="lightGray"/>
                <w:shd w:val="clear" w:color="auto" w:fill="FFFFFF"/>
              </w:rPr>
            </w:pPr>
            <w:r>
              <w:rPr>
                <w:rFonts w:ascii="宋体" w:hAnsi="宋体" w:cs="宋体" w:hint="eastAsia"/>
                <w:b/>
                <w:szCs w:val="21"/>
              </w:rPr>
              <w:t>原始权益人</w:t>
            </w:r>
            <w:r w:rsidRPr="004C7F8B">
              <w:rPr>
                <w:rFonts w:ascii="宋体" w:hAnsi="宋体" w:cs="宋体" w:hint="eastAsia"/>
                <w:b/>
                <w:szCs w:val="21"/>
              </w:rPr>
              <w:t>名称</w:t>
            </w:r>
          </w:p>
        </w:tc>
        <w:tc>
          <w:tcPr>
            <w:tcW w:w="2064" w:type="pct"/>
            <w:shd w:val="clear" w:color="auto" w:fill="BFBFBF"/>
            <w:vAlign w:val="center"/>
            <w:hideMark/>
          </w:tcPr>
          <w:p w:rsidR="008D77ED" w:rsidRPr="00931AE2" w:rsidP="00975504">
            <w:pPr>
              <w:widowControl/>
              <w:jc w:val="center"/>
              <w:rPr>
                <w:rFonts w:ascii="宋体" w:hAnsi="宋体" w:cs="宋体"/>
                <w:b/>
                <w:szCs w:val="21"/>
              </w:rPr>
            </w:pPr>
            <w:r w:rsidRPr="00931AE2">
              <w:rPr>
                <w:rFonts w:ascii="宋体" w:hAnsi="宋体" w:cs="宋体" w:hint="eastAsia"/>
                <w:b/>
                <w:szCs w:val="21"/>
              </w:rPr>
              <w:t>项目剩余融资期限</w:t>
            </w:r>
          </w:p>
          <w:p w:rsidR="008D77ED" w:rsidRPr="004C7F8B" w:rsidP="00090C9E">
            <w:pPr>
              <w:widowControl/>
              <w:jc w:val="center"/>
              <w:rPr>
                <w:rFonts w:ascii="宋体" w:hAnsi="宋体" w:cs="宋体"/>
                <w:b/>
                <w:color w:val="333333"/>
                <w:kern w:val="0"/>
                <w:szCs w:val="21"/>
                <w:highlight w:val="lightGray"/>
                <w:shd w:val="clear" w:color="auto" w:fill="FFFFFF"/>
              </w:rPr>
            </w:pPr>
            <w:r w:rsidRPr="00931AE2">
              <w:rPr>
                <w:rFonts w:ascii="宋体" w:hAnsi="宋体" w:cs="宋体" w:hint="eastAsia"/>
                <w:b/>
                <w:szCs w:val="21"/>
              </w:rPr>
              <w:t>（单位：天）</w:t>
            </w:r>
          </w:p>
        </w:tc>
      </w:tr>
      <w:tr w:rsidTr="0071237C">
        <w:tblPrEx>
          <w:tblW w:w="4926" w:type="pct"/>
          <w:tblLook w:val="04A0"/>
        </w:tblPrEx>
        <w:trPr>
          <w:trHeight w:val="430"/>
        </w:trPr>
        <w:tc>
          <w:tcPr>
            <w:tcW w:w="1585" w:type="pct"/>
            <w:shd w:val="clear" w:color="auto" w:fill="auto"/>
            <w:vAlign w:val="center"/>
          </w:tcPr>
          <w:p>
            <w:pPr>
              <w:ind w:left="-1" w:right="-1"/>
              <w:jc w:val="center"/>
            </w:pPr>
            <w:r>
              <w:rPr>
                <w:rFonts w:ascii="宋体" w:eastAsia="宋体" w:hAnsi="宋体" w:cs="宋体"/>
                <w:b w:val="0"/>
                <w:i w:val="0"/>
                <w:color w:val="000000"/>
                <w:spacing w:val="0"/>
                <w:position w:val="-1"/>
                <w:u w:val="none"/>
                <w:vertAlign w:val="baseline"/>
              </w:rPr>
              <w:t>-</w:t>
            </w:r>
          </w:p>
        </w:tc>
        <w:tc>
          <w:tcPr>
            <w:tcW w:w="1351" w:type="pct"/>
            <w:shd w:val="clear" w:color="auto" w:fill="auto"/>
            <w:vAlign w:val="center"/>
          </w:tcPr>
          <w:p>
            <w:pPr>
              <w:ind w:left="-1" w:right="-1"/>
              <w:jc w:val="center"/>
            </w:pPr>
            <w:r>
              <w:rPr>
                <w:rFonts w:ascii="宋体" w:eastAsia="宋体" w:hAnsi="宋体" w:cs="宋体"/>
                <w:b w:val="0"/>
                <w:i w:val="0"/>
                <w:color w:val="000000"/>
                <w:spacing w:val="0"/>
                <w:position w:val="-1"/>
                <w:u w:val="none"/>
                <w:vertAlign w:val="baseline"/>
              </w:rPr>
              <w:t>-</w:t>
            </w:r>
          </w:p>
        </w:tc>
        <w:tc>
          <w:tcPr>
            <w:tcW w:w="2064" w:type="pct"/>
            <w:shd w:val="clear" w:color="auto" w:fill="auto"/>
            <w:vAlign w:val="center"/>
          </w:tcPr>
          <w:p>
            <w:pPr>
              <w:ind w:left="-1" w:right="-1"/>
              <w:jc w:val="center"/>
            </w:pPr>
            <w:r>
              <w:rPr>
                <w:rFonts w:ascii="宋体" w:eastAsia="宋体" w:hAnsi="宋体" w:cs="宋体"/>
                <w:b w:val="0"/>
                <w:i w:val="0"/>
                <w:color w:val="000000"/>
                <w:spacing w:val="0"/>
                <w:position w:val="-1"/>
                <w:u w:val="none"/>
                <w:vertAlign w:val="baseline"/>
              </w:rPr>
              <w:t>-</w:t>
            </w:r>
          </w:p>
        </w:tc>
      </w:tr>
    </w:tbl>
    <w:p w:rsidR="008B7BD8" w:rsidRPr="00BB25DC" w:rsidP="00BB25DC">
      <w:pPr>
        <w:pStyle w:val="Heading22"/>
        <w:rPr>
          <w:rStyle w:val="DefaultParagraphFont"/>
          <w:rFonts w:eastAsia="宋体" w:cs="Times New Roman"/>
          <w:sz w:val="24"/>
          <w:szCs w:val="24"/>
          <w:shd w:val="clear" w:color="auto" w:fill="FFFFFF"/>
          <w:lang w:val="en-US" w:eastAsia="zh-CN" w:bidi="ar-SA"/>
        </w:rPr>
      </w:pPr>
      <w:bookmarkStart w:id="26" w:name="_Toc256000016"/>
      <w:r w:rsidRPr="00BB25DC">
        <w:rPr>
          <w:rStyle w:val="DefaultParagraphFont"/>
          <w:rFonts w:eastAsia="宋体" w:cs="Times New Roman"/>
          <w:sz w:val="24"/>
          <w:szCs w:val="24"/>
          <w:shd w:val="clear" w:color="auto" w:fill="FFFFFF"/>
          <w:lang w:val="en-US" w:eastAsia="zh-CN" w:bidi="ar-SA"/>
        </w:rPr>
        <w:t>5</w:t>
      </w:r>
      <w:r w:rsidRPr="00BB25DC">
        <w:rPr>
          <w:rStyle w:val="DefaultParagraphFont"/>
          <w:rFonts w:eastAsia="宋体" w:cs="Times New Roman" w:hint="eastAsia"/>
          <w:sz w:val="24"/>
          <w:szCs w:val="24"/>
          <w:shd w:val="clear" w:color="auto" w:fill="FFFFFF"/>
          <w:lang w:val="en-US" w:eastAsia="zh-CN" w:bidi="ar-SA"/>
        </w:rPr>
        <w:t>.</w:t>
      </w:r>
      <w:r w:rsidRPr="00BB25DC">
        <w:rPr>
          <w:rStyle w:val="DefaultParagraphFont"/>
          <w:rFonts w:eastAsia="宋体" w:cs="Times New Roman"/>
          <w:sz w:val="24"/>
          <w:szCs w:val="24"/>
          <w:shd w:val="clear" w:color="auto" w:fill="FFFFFF"/>
          <w:lang w:val="en-US" w:eastAsia="zh-CN" w:bidi="ar-SA"/>
        </w:rPr>
        <w:t>6</w:t>
      </w:r>
      <w:r w:rsidRPr="00BB25DC">
        <w:rPr>
          <w:rStyle w:val="DefaultParagraphFont"/>
          <w:rFonts w:eastAsia="宋体" w:cs="Times New Roman" w:hint="eastAsia"/>
          <w:sz w:val="24"/>
          <w:szCs w:val="24"/>
          <w:shd w:val="clear" w:color="auto" w:fill="FFFFFF"/>
          <w:lang w:val="en-US" w:eastAsia="zh-CN" w:bidi="ar-SA"/>
        </w:rPr>
        <w:t xml:space="preserve"> 报告</w:t>
      </w:r>
      <w:r w:rsidRPr="00BB25DC">
        <w:rPr>
          <w:rStyle w:val="DefaultParagraphFont"/>
          <w:rFonts w:eastAsia="宋体" w:cs="Times New Roman"/>
          <w:sz w:val="24"/>
          <w:szCs w:val="24"/>
          <w:shd w:val="clear" w:color="auto" w:fill="FFFFFF"/>
          <w:lang w:val="en-US" w:eastAsia="zh-CN" w:bidi="ar-SA"/>
        </w:rPr>
        <w:t>期</w:t>
      </w:r>
      <w:r w:rsidRPr="00BB25DC">
        <w:rPr>
          <w:rStyle w:val="DefaultParagraphFont"/>
          <w:rFonts w:eastAsia="宋体" w:cs="Times New Roman" w:hint="eastAsia"/>
          <w:sz w:val="24"/>
          <w:szCs w:val="24"/>
          <w:shd w:val="clear" w:color="auto" w:fill="FFFFFF"/>
          <w:lang w:val="en-US" w:eastAsia="zh-CN" w:bidi="ar-SA"/>
        </w:rPr>
        <w:t>末商品及金融衍生</w:t>
      </w:r>
      <w:r w:rsidRPr="00BB25DC">
        <w:rPr>
          <w:rStyle w:val="DefaultParagraphFont"/>
          <w:rFonts w:eastAsia="宋体" w:cs="Times New Roman" w:hint="eastAsia"/>
          <w:sz w:val="24"/>
          <w:szCs w:val="24"/>
          <w:shd w:val="clear" w:color="auto" w:fill="FFFFFF"/>
          <w:lang w:val="en-US" w:eastAsia="zh-CN" w:bidi="ar-SA"/>
        </w:rPr>
        <w:t>品</w:t>
      </w:r>
      <w:r w:rsidRPr="00BB25DC">
        <w:rPr>
          <w:rStyle w:val="DefaultParagraphFont"/>
          <w:rFonts w:eastAsia="宋体" w:cs="Times New Roman"/>
          <w:sz w:val="24"/>
          <w:szCs w:val="24"/>
          <w:shd w:val="clear" w:color="auto" w:fill="FFFFFF"/>
          <w:lang w:val="en-US" w:eastAsia="zh-CN" w:bidi="ar-SA"/>
        </w:rPr>
        <w:t>资产</w:t>
      </w:r>
      <w:r w:rsidRPr="00BB25DC">
        <w:rPr>
          <w:rStyle w:val="DefaultParagraphFont"/>
          <w:rFonts w:eastAsia="宋体" w:cs="Times New Roman" w:hint="eastAsia"/>
          <w:sz w:val="24"/>
          <w:szCs w:val="24"/>
          <w:shd w:val="clear" w:color="auto" w:fill="FFFFFF"/>
          <w:lang w:val="en-US" w:eastAsia="zh-CN" w:bidi="ar-SA"/>
        </w:rPr>
        <w:t>信息</w:t>
      </w:r>
      <w:bookmarkEnd w:id="26"/>
    </w:p>
    <w:p w:rsidR="008B7BD8" w:rsidRPr="00E43FC7" w:rsidP="00BA42D8">
      <w:pPr>
        <w:pStyle w:val="Normal3"/>
        <w:ind w:firstLine="420" w:firstLineChars="200"/>
        <w:rPr>
          <w:rStyle w:val="DefaultParagraphFont"/>
          <w:rFonts w:ascii="宋体" w:eastAsia="宋体" w:hAnsi="宋体" w:cs="Times New Roman"/>
          <w:sz w:val="24"/>
          <w:shd w:val="clear" w:color="auto" w:fill="FFFFFF"/>
          <w:lang w:val="en-US" w:eastAsia="zh-CN" w:bidi="ar-SA"/>
        </w:rPr>
      </w:pPr>
      <w:r>
        <w:rPr>
          <w:rStyle w:val="DefaultParagraphFont"/>
          <w:rFonts w:ascii="宋体" w:eastAsia="宋体" w:hAnsi="宋体" w:cs="宋体"/>
          <w:b w:val="0"/>
          <w:color w:val="000000"/>
          <w:sz w:val="24"/>
          <w:lang w:val="en-US" w:eastAsia="zh-CN" w:bidi="ar-SA"/>
        </w:rPr>
        <w:t>无</w:t>
      </w:r>
    </w:p>
    <w:p w:rsidR="004B3394" w:rsidRPr="008B7BD8" w:rsidP="008B7BD8">
      <w:pPr>
        <w:pStyle w:val="Normal3"/>
        <w:rPr>
          <w:rStyle w:val="DefaultParagraphFont"/>
          <w:rFonts w:ascii="宋体" w:eastAsia="宋体" w:hAnsi="宋体" w:cs="Times New Roman"/>
          <w:lang w:val="en-US" w:eastAsia="zh-CN" w:bidi="ar-SA"/>
        </w:rPr>
      </w:pPr>
      <w:r>
        <w:rPr>
          <w:rStyle w:val="DefaultParagraphFont"/>
          <w:rFonts w:ascii="宋体" w:eastAsia="宋体" w:hAnsi="宋体" w:cs="宋体"/>
          <w:b w:val="0"/>
          <w:color w:val="000000"/>
          <w:lang w:val="en-US" w:eastAsia="zh-CN" w:bidi="ar-SA"/>
        </w:rPr>
        <w:t xml:space="preserve"> </w:t>
      </w:r>
    </w:p>
    <w:p w:rsidR="00B21928" w:rsidRPr="009A2C14" w:rsidP="009A2C14">
      <w:pPr>
        <w:pStyle w:val="Heading1"/>
        <w:jc w:val="center"/>
        <w:rPr>
          <w:rFonts w:ascii="宋体" w:hAnsi="宋体"/>
          <w:sz w:val="24"/>
          <w:szCs w:val="24"/>
          <w:shd w:val="clear" w:color="auto" w:fill="FFFFFF"/>
        </w:rPr>
      </w:pPr>
      <w:bookmarkStart w:id="27" w:name="_Toc256000017"/>
      <w:r w:rsidRPr="009A2C14">
        <w:rPr>
          <w:rFonts w:ascii="宋体" w:hAnsi="宋体" w:hint="eastAsia"/>
          <w:sz w:val="24"/>
          <w:szCs w:val="24"/>
          <w:shd w:val="clear" w:color="auto" w:fill="FFFFFF"/>
        </w:rPr>
        <w:t>§</w:t>
      </w:r>
      <w:r w:rsidRPr="009A2C14">
        <w:rPr>
          <w:rFonts w:ascii="宋体" w:hAnsi="宋体"/>
          <w:sz w:val="24"/>
          <w:szCs w:val="24"/>
          <w:shd w:val="clear" w:color="auto" w:fill="FFFFFF"/>
        </w:rPr>
        <w:t>6</w:t>
      </w:r>
      <w:r w:rsidRPr="009A2C14">
        <w:rPr>
          <w:rFonts w:ascii="宋体" w:hAnsi="宋体" w:hint="eastAsia"/>
          <w:sz w:val="24"/>
          <w:szCs w:val="24"/>
          <w:shd w:val="clear" w:color="auto" w:fill="FFFFFF"/>
        </w:rPr>
        <w:t xml:space="preserve"> 托管人报告</w:t>
      </w:r>
      <w:bookmarkEnd w:id="27"/>
    </w:p>
    <w:p w:rsidR="00B21928" w:rsidRPr="009A2C14" w:rsidP="009A2C14">
      <w:pPr>
        <w:pStyle w:val="Heading2"/>
        <w:rPr>
          <w:sz w:val="24"/>
          <w:szCs w:val="24"/>
          <w:shd w:val="clear" w:color="auto" w:fill="FFFFFF"/>
        </w:rPr>
      </w:pPr>
      <w:bookmarkStart w:id="28" w:name="_Toc256000018"/>
      <w:r w:rsidRPr="009A2C14">
        <w:rPr>
          <w:sz w:val="24"/>
          <w:szCs w:val="24"/>
          <w:shd w:val="clear" w:color="auto" w:fill="FFFFFF"/>
        </w:rPr>
        <w:t>6</w:t>
      </w:r>
      <w:r w:rsidRPr="009A2C14">
        <w:rPr>
          <w:rFonts w:hint="eastAsia"/>
          <w:sz w:val="24"/>
          <w:szCs w:val="24"/>
          <w:shd w:val="clear" w:color="auto" w:fill="FFFFFF"/>
        </w:rPr>
        <w:t>.1 托管人报告</w:t>
      </w:r>
      <w:bookmarkEnd w:id="28"/>
    </w:p>
    <w:p w:rsidR="00114C66" w:rsidP="00114C66">
      <w:pPr>
        <w:ind w:firstLine="420" w:firstLineChars="200"/>
        <w:rPr>
          <w:rFonts w:ascii="宋体" w:hAnsi="宋体"/>
          <w:sz w:val="24"/>
          <w:szCs w:val="24"/>
          <w:shd w:val="clear" w:color="auto" w:fill="FFFFFF"/>
        </w:rPr>
      </w:pPr>
      <w:r>
        <w:rPr>
          <w:rFonts w:ascii="宋体" w:hAnsi="宋体" w:hint="eastAsia"/>
          <w:sz w:val="24"/>
          <w:szCs w:val="24"/>
          <w:shd w:val="clear" w:color="auto" w:fill="FFFFFF"/>
        </w:rPr>
        <w:t>6.1.1托管人履职情况</w:t>
      </w:r>
    </w:p>
    <w:p w:rsidR="00114C66" w:rsidP="00114C66">
      <w:pPr>
        <w:ind w:firstLine="420" w:firstLineChars="200"/>
        <w:rPr>
          <w:rFonts w:ascii="宋体" w:hAnsi="宋体" w:hint="eastAsia"/>
          <w:sz w:val="24"/>
          <w:szCs w:val="24"/>
          <w:shd w:val="clear" w:color="auto" w:fill="FFFFFF"/>
        </w:rPr>
      </w:pPr>
      <w:r>
        <w:rPr>
          <w:rFonts w:ascii="宋体" w:hAnsi="宋体" w:hint="eastAsia"/>
          <w:sz w:val="24"/>
          <w:szCs w:val="24"/>
          <w:shd w:val="clear" w:color="auto" w:fill="FFFFFF"/>
        </w:rPr>
        <w:t>（一）托管资产保管</w:t>
      </w:r>
    </w:p>
    <w:p w:rsidR="00114C66" w:rsidP="00114C66">
      <w:pPr>
        <w:ind w:firstLine="420" w:firstLineChars="200"/>
        <w:rPr>
          <w:rFonts w:ascii="宋体" w:hAnsi="宋体" w:hint="eastAsia"/>
          <w:sz w:val="24"/>
          <w:szCs w:val="24"/>
          <w:shd w:val="clear" w:color="auto" w:fill="FFFFFF"/>
        </w:rPr>
      </w:pPr>
      <w:r>
        <w:rPr>
          <w:rFonts w:ascii="宋体" w:hAnsi="宋体" w:hint="eastAsia"/>
          <w:sz w:val="24"/>
          <w:szCs w:val="24"/>
          <w:shd w:val="clear" w:color="auto" w:fill="FFFFFF"/>
        </w:rPr>
        <w:t>托管资产独立于托管人的自有资产及其托管的其他资产，不同投资账户之间的托管资产之间互相独立。托管人按照监管相关规定，完整保存与托管资产有关的会计档案、与托管资产有关的投资记录、指令和合同等。</w:t>
      </w:r>
    </w:p>
    <w:p w:rsidR="00114C66" w:rsidP="00114C66">
      <w:pPr>
        <w:ind w:firstLine="420" w:firstLineChars="200"/>
        <w:rPr>
          <w:rFonts w:ascii="宋体" w:hAnsi="宋体" w:hint="eastAsia"/>
          <w:sz w:val="24"/>
          <w:szCs w:val="24"/>
          <w:shd w:val="clear" w:color="auto" w:fill="FFFFFF"/>
        </w:rPr>
      </w:pPr>
      <w:r>
        <w:rPr>
          <w:rFonts w:ascii="宋体" w:hAnsi="宋体" w:hint="eastAsia"/>
          <w:sz w:val="24"/>
          <w:szCs w:val="24"/>
          <w:shd w:val="clear" w:color="auto" w:fill="FFFFFF"/>
        </w:rPr>
        <w:t>（二）会计核算和估值</w:t>
      </w:r>
    </w:p>
    <w:p w:rsidR="00114C66" w:rsidP="00114C66">
      <w:pPr>
        <w:ind w:firstLine="420" w:firstLineChars="200"/>
        <w:rPr>
          <w:rFonts w:ascii="宋体" w:hAnsi="宋体" w:hint="eastAsia"/>
          <w:sz w:val="24"/>
          <w:szCs w:val="24"/>
          <w:shd w:val="clear" w:color="auto" w:fill="FFFFFF"/>
        </w:rPr>
      </w:pPr>
      <w:r>
        <w:rPr>
          <w:rFonts w:ascii="宋体" w:hAnsi="宋体" w:hint="eastAsia"/>
          <w:sz w:val="24"/>
          <w:szCs w:val="24"/>
          <w:shd w:val="clear" w:color="auto" w:fill="FFFFFF"/>
        </w:rPr>
        <w:t>托管人按照与管理人在托管协议中约定的统一记账方法和会计处理原则，独立地设置、登录和保管本产品的全套账册，进行会计核算和资产估值。</w:t>
      </w:r>
    </w:p>
    <w:p w:rsidR="00114C66" w:rsidP="00114C66">
      <w:pPr>
        <w:ind w:firstLine="420" w:firstLineChars="200"/>
        <w:rPr>
          <w:rFonts w:ascii="宋体" w:hAnsi="宋体" w:hint="eastAsia"/>
          <w:sz w:val="24"/>
          <w:szCs w:val="24"/>
          <w:shd w:val="clear" w:color="auto" w:fill="FFFFFF"/>
        </w:rPr>
      </w:pPr>
      <w:r>
        <w:rPr>
          <w:rFonts w:ascii="宋体" w:hAnsi="宋体" w:hint="eastAsia"/>
          <w:sz w:val="24"/>
          <w:szCs w:val="24"/>
          <w:shd w:val="clear" w:color="auto" w:fill="FFFFFF"/>
        </w:rPr>
        <w:t>（三）定期核对有关数据</w:t>
      </w:r>
    </w:p>
    <w:p w:rsidR="00114C66" w:rsidP="00114C66">
      <w:pPr>
        <w:ind w:firstLine="420" w:firstLineChars="200"/>
        <w:rPr>
          <w:rFonts w:ascii="宋体" w:hAnsi="宋体" w:hint="eastAsia"/>
          <w:sz w:val="24"/>
          <w:szCs w:val="24"/>
          <w:shd w:val="clear" w:color="auto" w:fill="FFFFFF"/>
        </w:rPr>
      </w:pPr>
      <w:r>
        <w:rPr>
          <w:rFonts w:ascii="宋体" w:hAnsi="宋体" w:hint="eastAsia"/>
          <w:sz w:val="24"/>
          <w:szCs w:val="24"/>
          <w:shd w:val="clear" w:color="auto" w:fill="FFFFFF"/>
        </w:rPr>
        <w:t>托管人根据托管协议约定与管理人定期进行账务核对。</w:t>
      </w:r>
    </w:p>
    <w:p w:rsidR="00114C66" w:rsidP="00114C66">
      <w:pPr>
        <w:ind w:firstLine="420" w:firstLineChars="200"/>
        <w:rPr>
          <w:rFonts w:ascii="宋体" w:hAnsi="宋体" w:hint="eastAsia"/>
          <w:sz w:val="24"/>
          <w:szCs w:val="24"/>
          <w:shd w:val="clear" w:color="auto" w:fill="FFFFFF"/>
        </w:rPr>
      </w:pPr>
      <w:r>
        <w:rPr>
          <w:rFonts w:ascii="宋体" w:hAnsi="宋体" w:hint="eastAsia"/>
          <w:sz w:val="24"/>
          <w:szCs w:val="24"/>
          <w:shd w:val="clear" w:color="auto" w:fill="FFFFFF"/>
        </w:rPr>
        <w:t>（四）投资监督</w:t>
      </w:r>
    </w:p>
    <w:p w:rsidR="00114C66" w:rsidP="00114C66">
      <w:pPr>
        <w:ind w:firstLine="420" w:firstLineChars="200"/>
        <w:rPr>
          <w:rFonts w:ascii="宋体" w:hAnsi="宋体" w:hint="eastAsia"/>
          <w:sz w:val="24"/>
          <w:szCs w:val="24"/>
          <w:shd w:val="clear" w:color="auto" w:fill="FFFFFF"/>
        </w:rPr>
      </w:pPr>
      <w:r>
        <w:rPr>
          <w:rFonts w:ascii="宋体" w:hAnsi="宋体" w:hint="eastAsia"/>
          <w:sz w:val="24"/>
          <w:szCs w:val="24"/>
          <w:shd w:val="clear" w:color="auto" w:fill="FFFFFF"/>
        </w:rPr>
        <w:t>托管人根据法规、托管协议以及双方约定的投资监督条款，对投资运作情况进行监督。</w:t>
      </w:r>
    </w:p>
    <w:p w:rsidR="00114C66" w:rsidP="00114C66">
      <w:pPr>
        <w:ind w:firstLine="420" w:firstLineChars="200"/>
        <w:rPr>
          <w:rFonts w:ascii="宋体" w:hAnsi="宋体" w:hint="eastAsia"/>
          <w:sz w:val="24"/>
          <w:szCs w:val="24"/>
          <w:shd w:val="clear" w:color="auto" w:fill="FFFFFF"/>
        </w:rPr>
      </w:pPr>
      <w:r>
        <w:rPr>
          <w:rFonts w:ascii="宋体" w:hAnsi="宋体" w:hint="eastAsia"/>
          <w:sz w:val="24"/>
          <w:szCs w:val="24"/>
          <w:shd w:val="clear" w:color="auto" w:fill="FFFFFF"/>
        </w:rPr>
        <w:t>6.1.2托管人声明</w:t>
      </w:r>
    </w:p>
    <w:p w:rsidR="00B21928" w:rsidRPr="00114C66" w:rsidP="00114C66">
      <w:pPr>
        <w:ind w:firstLine="420" w:firstLineChars="200"/>
        <w:rPr>
          <w:rFonts w:ascii="宋体" w:hAnsi="宋体"/>
          <w:sz w:val="24"/>
          <w:szCs w:val="24"/>
          <w:shd w:val="clear" w:color="auto" w:fill="FFFFFF"/>
        </w:rPr>
      </w:pPr>
      <w:bookmarkStart w:id="29" w:name="_GoBack"/>
      <w:bookmarkEnd w:id="29"/>
      <w:r>
        <w:rPr>
          <w:rFonts w:ascii="宋体" w:hAnsi="宋体" w:hint="eastAsia"/>
          <w:sz w:val="24"/>
          <w:szCs w:val="24"/>
          <w:shd w:val="clear" w:color="auto" w:fill="FFFFFF"/>
        </w:rPr>
        <w:t>托管人具备完善的公司治理结构、内部稽核监控制度和风险控制制度，托管人在本产品托管的过程中，严格遵守有关法律法规、托管协议的规定，尽职尽责地履行托管义</w:t>
      </w:r>
      <w:r>
        <w:rPr>
          <w:rFonts w:ascii="宋体" w:hAnsi="宋体" w:hint="eastAsia"/>
          <w:sz w:val="24"/>
          <w:szCs w:val="24"/>
          <w:shd w:val="clear" w:color="auto" w:fill="FFFFFF"/>
        </w:rPr>
        <w:t>务并安全保管托管资产。</w:t>
      </w:r>
    </w:p>
    <w:p w:rsidR="00E215B9" w:rsidP="00757F82"/>
    <w:p w:rsidR="008D77ED" w:rsidRPr="009A2C14" w:rsidP="008D77ED">
      <w:pPr>
        <w:jc w:val="right"/>
        <w:rPr>
          <w:rFonts w:ascii="宋体" w:hAnsi="宋体"/>
          <w:sz w:val="24"/>
          <w:szCs w:val="24"/>
        </w:rPr>
      </w:pPr>
      <w:r w:rsidRPr="009A2C14">
        <w:rPr>
          <w:sz w:val="24"/>
          <w:szCs w:val="24"/>
        </w:rPr>
        <w:t xml:space="preserve"> </w:t>
      </w:r>
      <w:r>
        <w:rPr>
          <w:rFonts w:ascii="宋体" w:eastAsia="宋体" w:hAnsi="宋体" w:cs="宋体"/>
          <w:b w:val="0"/>
          <w:i w:val="0"/>
          <w:color w:val="000000"/>
          <w:position w:val="-1"/>
          <w:sz w:val="24"/>
          <w:u w:val="none"/>
        </w:rPr>
        <w:t>招银理财有限责任公司</w:t>
      </w:r>
    </w:p>
    <w:p w:rsidR="00E35DF7" w:rsidRPr="009A2C14" w:rsidP="008D77ED">
      <w:pPr>
        <w:jc w:val="right"/>
        <w:rPr>
          <w:rFonts w:ascii="宋体" w:hAnsi="宋体"/>
          <w:sz w:val="24"/>
          <w:szCs w:val="24"/>
        </w:rPr>
      </w:pPr>
      <w:r>
        <w:rPr>
          <w:rFonts w:ascii="宋体" w:eastAsia="宋体" w:hAnsi="宋体" w:cs="宋体"/>
          <w:b w:val="0"/>
          <w:i w:val="0"/>
          <w:color w:val="000000"/>
          <w:position w:val="-1"/>
          <w:sz w:val="24"/>
          <w:u w:val="none"/>
        </w:rPr>
        <w:t>2024年12月31日</w:t>
      </w:r>
    </w:p>
    <w:sectPr w:rsidSect="001C68D8">
      <w:headerReference w:type="default" r:id="rId5"/>
      <w:footerReference w:type="even" r:id="rId6"/>
      <w:footerReference w:type="default" r:id="rId7"/>
      <w:pgSz w:w="11906" w:h="16838"/>
      <w:pgMar w:top="1440" w:right="1418" w:bottom="1440" w:left="1418" w:header="851" w:footer="567" w:gutter="0"/>
      <w:cols w:space="720"/>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0" w:usb1="00000000" w:usb2="00000010" w:usb3="00000000" w:csb0="00040000"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彩虹小标宋">
    <w:altName w:val="微软雅黑"/>
    <w:charset w:val="86"/>
    <w:family w:val="script"/>
    <w:pitch w:val="default"/>
    <w:sig w:usb0="00000000" w:usb1="0000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B32687">
    <w:pPr>
      <w:pStyle w:val="Footer"/>
      <w:framePr w:h="0" w:hRule="atLeast" w:wrap="around" w:vAnchor="text" w:hAnchor="margin" w:xAlign="center" w:y="1"/>
      <w:rPr>
        <w:rStyle w:val="PageNumber"/>
      </w:rPr>
    </w:pPr>
    <w:r>
      <w:fldChar w:fldCharType="begin"/>
    </w:r>
    <w:r>
      <w:rPr>
        <w:rStyle w:val="PageNumber"/>
      </w:rPr>
      <w:instrText xml:space="preserve">PAGE  </w:instrText>
    </w:r>
    <w:r>
      <w:fldChar w:fldCharType="separate"/>
    </w:r>
    <w:r>
      <w:fldChar w:fldCharType="end"/>
    </w:r>
  </w:p>
  <w:p w:rsidR="00B3268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B32687" w:rsidP="008A10D2">
    <w:pPr>
      <w:pStyle w:val="Footer"/>
      <w:jc w:val="center"/>
    </w:pPr>
    <w:r>
      <w:rPr>
        <w:lang w:val="zh-CN"/>
      </w:rPr>
      <w:t xml:space="preserve"> </w:t>
    </w:r>
    <w:r>
      <w:rPr>
        <w:b/>
        <w:sz w:val="24"/>
        <w:szCs w:val="24"/>
      </w:rPr>
      <w:fldChar w:fldCharType="begin"/>
    </w:r>
    <w:r>
      <w:rPr>
        <w:b/>
      </w:rPr>
      <w:instrText>PAGE</w:instrText>
    </w:r>
    <w:r>
      <w:rPr>
        <w:b/>
        <w:sz w:val="24"/>
        <w:szCs w:val="24"/>
      </w:rPr>
      <w:fldChar w:fldCharType="separate"/>
    </w:r>
    <w:r>
      <w:rPr>
        <w:b/>
      </w:rPr>
      <w:t>9</w:t>
    </w:r>
    <w:r>
      <w:rPr>
        <w:b/>
        <w:sz w:val="24"/>
        <w:szCs w:val="24"/>
      </w:rPr>
      <w:fldChar w:fldCharType="end"/>
    </w:r>
    <w:r>
      <w:rPr>
        <w:lang w:val="zh-CN"/>
      </w:rPr>
      <w:t xml:space="preserve"> / </w:t>
    </w:r>
    <w:r>
      <w:rPr>
        <w:b/>
        <w:sz w:val="24"/>
        <w:szCs w:val="24"/>
      </w:rPr>
      <w:fldChar w:fldCharType="begin"/>
    </w:r>
    <w:r>
      <w:rPr>
        <w:b/>
      </w:rPr>
      <w:instrText>NUMPAGES</w:instrText>
    </w:r>
    <w:r>
      <w:rPr>
        <w:b/>
        <w:sz w:val="24"/>
        <w:szCs w:val="24"/>
      </w:rPr>
      <w:fldChar w:fldCharType="separate"/>
    </w:r>
    <w:r>
      <w:rPr>
        <w:b/>
      </w:rPr>
      <w:t>9</w:t>
    </w:r>
    <w:r>
      <w:rPr>
        <w:b/>
        <w:sz w:val="24"/>
        <w:szCs w:val="24"/>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B32687" w:rsidRPr="00BF4CF6" w:rsidP="00BF4CF6">
    <w:pPr>
      <w:pStyle w:val="Header"/>
      <w:jc w:val="left"/>
    </w:pPr>
    <w:r>
      <w:rPr>
        <w:rFonts w:ascii="宋体" w:eastAsia="宋体" w:hAnsi="宋体" w:cs="宋体"/>
        <w:b w:val="0"/>
        <w:i w:val="0"/>
        <w:color w:val="000000"/>
        <w:position w:val="-1"/>
        <w:u w:val="none"/>
      </w:rPr>
      <w:t>招银理财招睿丰和（短债）14天持有期1号固定收益类理财计划2024年年度</w:t>
    </w:r>
    <w:r w:rsidR="00536C4E">
      <w:rPr>
        <w:rFonts w:ascii="宋体" w:hAnsi="宋体" w:hint="eastAsia"/>
      </w:rPr>
      <w:t>报告（产品</w:t>
    </w:r>
    <w:r w:rsidRPr="00BF4CF6">
      <w:rPr>
        <w:rFonts w:ascii="宋体" w:hAnsi="宋体" w:hint="eastAsia"/>
      </w:rPr>
      <w:t>代码：</w:t>
    </w:r>
    <w:r>
      <w:rPr>
        <w:rFonts w:ascii="宋体" w:eastAsia="宋体" w:hAnsi="宋体" w:cs="宋体"/>
        <w:b w:val="0"/>
        <w:i w:val="0"/>
        <w:color w:val="000000"/>
        <w:position w:val="-1"/>
        <w:u w:val="none"/>
      </w:rPr>
      <w:t>107514</w:t>
    </w:r>
    <w:r w:rsidRPr="00BF4CF6">
      <w:rPr>
        <w:rFonts w:ascii="宋体" w:hAnsi="宋体" w:hint="eastAsia"/>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0000002"/>
    <w:multiLevelType w:val="multilevel"/>
    <w:tmpl w:val="00000002"/>
    <w:lvl w:ilvl="0">
      <w:start w:val="1"/>
      <w:numFmt w:val="decimal"/>
      <w:pStyle w:val="115"/>
      <w:lvlText w:val="%1）"/>
      <w:lvlJc w:val="left"/>
      <w:pPr>
        <w:tabs>
          <w:tab w:val="num" w:pos="360"/>
        </w:tabs>
        <w:ind w:left="360" w:hanging="360"/>
      </w:pPr>
      <w:rPr>
        <w:rFonts w:hint="default"/>
      </w:rPr>
    </w:lvl>
    <w:lvl w:ilvl="1">
      <w:start w:val="1"/>
      <w:numFmt w:val="lowerLetter"/>
      <w:pStyle w:val="2111111"/>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nsid w:val="0000000B"/>
    <w:multiLevelType w:val="multilevel"/>
    <w:tmpl w:val="0000000B"/>
    <w:lvl w:ilvl="0">
      <w:start w:val="1"/>
      <w:numFmt w:val="decimal"/>
      <w:pStyle w:val="CharCharCharCharCharCharCharCharChar"/>
      <w:lvlText w:val="%1、"/>
      <w:lvlJc w:val="left"/>
      <w:pPr>
        <w:tabs>
          <w:tab w:val="num" w:pos="780"/>
        </w:tabs>
        <w:ind w:left="780" w:hanging="360"/>
      </w:pPr>
      <w:rPr>
        <w:rFonts w:hint="default"/>
        <w:color w:val="0000FF"/>
      </w:rPr>
    </w:lvl>
    <w:lvl w:ilvl="1">
      <w:start w:val="1"/>
      <w:numFmt w:val="lowerLetter"/>
      <w:lvlText w:val="%2)"/>
      <w:lvlJc w:val="left"/>
      <w:pPr>
        <w:tabs>
          <w:tab w:val="num" w:pos="1260"/>
        </w:tabs>
        <w:ind w:left="1260" w:hanging="420"/>
      </w:pPr>
    </w:lvl>
    <w:lvl w:ilvl="2">
      <w:start w:val="1"/>
      <w:numFmt w:val="lowerRoman"/>
      <w:lvlText w:val="%3."/>
      <w:lvlJc w:val="right"/>
      <w:pPr>
        <w:tabs>
          <w:tab w:val="num" w:pos="1680"/>
        </w:tabs>
        <w:ind w:left="1680" w:hanging="420"/>
      </w:pPr>
    </w:lvl>
    <w:lvl w:ilvl="3">
      <w:start w:val="1"/>
      <w:numFmt w:val="decimal"/>
      <w:lvlText w:val="%4."/>
      <w:lvlJc w:val="left"/>
      <w:pPr>
        <w:tabs>
          <w:tab w:val="num" w:pos="2100"/>
        </w:tabs>
        <w:ind w:left="2100" w:hanging="420"/>
      </w:pPr>
    </w:lvl>
    <w:lvl w:ilvl="4">
      <w:start w:val="1"/>
      <w:numFmt w:val="lowerLetter"/>
      <w:lvlText w:val="%5)"/>
      <w:lvlJc w:val="left"/>
      <w:pPr>
        <w:tabs>
          <w:tab w:val="num" w:pos="2520"/>
        </w:tabs>
        <w:ind w:left="2520" w:hanging="420"/>
      </w:pPr>
    </w:lvl>
    <w:lvl w:ilvl="5">
      <w:start w:val="1"/>
      <w:numFmt w:val="lowerRoman"/>
      <w:lvlText w:val="%6."/>
      <w:lvlJc w:val="right"/>
      <w:pPr>
        <w:tabs>
          <w:tab w:val="num" w:pos="2940"/>
        </w:tabs>
        <w:ind w:left="2940" w:hanging="420"/>
      </w:pPr>
    </w:lvl>
    <w:lvl w:ilvl="6">
      <w:start w:val="1"/>
      <w:numFmt w:val="decimal"/>
      <w:lvlText w:val="%7."/>
      <w:lvlJc w:val="left"/>
      <w:pPr>
        <w:tabs>
          <w:tab w:val="num" w:pos="3360"/>
        </w:tabs>
        <w:ind w:left="3360" w:hanging="420"/>
      </w:pPr>
    </w:lvl>
    <w:lvl w:ilvl="7">
      <w:start w:val="1"/>
      <w:numFmt w:val="lowerLetter"/>
      <w:lvlText w:val="%8)"/>
      <w:lvlJc w:val="left"/>
      <w:pPr>
        <w:tabs>
          <w:tab w:val="num" w:pos="3780"/>
        </w:tabs>
        <w:ind w:left="3780" w:hanging="420"/>
      </w:pPr>
    </w:lvl>
    <w:lvl w:ilvl="8">
      <w:start w:val="1"/>
      <w:numFmt w:val="lowerRoman"/>
      <w:lvlText w:val="%9."/>
      <w:lvlJc w:val="right"/>
      <w:pPr>
        <w:tabs>
          <w:tab w:val="num" w:pos="4200"/>
        </w:tabs>
        <w:ind w:left="4200" w:hanging="420"/>
      </w:pPr>
    </w:lvl>
  </w:abstractNum>
  <w:abstractNum w:abstractNumId="2">
    <w:nsid w:val="051114A2"/>
    <w:multiLevelType w:val="multilevel"/>
    <w:tmpl w:val="051114A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nsid w:val="05AE0390"/>
    <w:multiLevelType w:val="hybridMultilevel"/>
    <w:tmpl w:val="ED961BE0"/>
    <w:lvl w:ilvl="0">
      <w:start w:val="1"/>
      <w:numFmt w:val="decimalEnclosedCircle"/>
      <w:lvlText w:val="%1"/>
      <w:lvlJc w:val="left"/>
      <w:pPr>
        <w:ind w:left="360" w:hanging="36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4">
    <w:nsid w:val="07230AF3"/>
    <w:multiLevelType w:val="hybridMultilevel"/>
    <w:tmpl w:val="6EC041A2"/>
    <w:lvl w:ilvl="0">
      <w:start w:val="1"/>
      <w:numFmt w:val="decimal"/>
      <w:lvlText w:val="（%1）"/>
      <w:lvlJc w:val="left"/>
      <w:pPr>
        <w:ind w:left="720" w:hanging="72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5">
    <w:nsid w:val="103A36CE"/>
    <w:multiLevelType w:val="hybridMultilevel"/>
    <w:tmpl w:val="FBCEA0E4"/>
    <w:lvl w:ilvl="0">
      <w:start w:val="1"/>
      <w:numFmt w:val="decimal"/>
      <w:lvlText w:val="%1．"/>
      <w:lvlJc w:val="left"/>
      <w:pPr>
        <w:ind w:left="360" w:hanging="36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6">
    <w:nsid w:val="10F41FCB"/>
    <w:multiLevelType w:val="hybridMultilevel"/>
    <w:tmpl w:val="9D64A390"/>
    <w:lvl w:ilvl="0">
      <w:start w:val="1"/>
      <w:numFmt w:val="decimal"/>
      <w:lvlText w:val="%1、"/>
      <w:lvlJc w:val="left"/>
      <w:pPr>
        <w:ind w:left="360" w:hanging="36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7">
    <w:nsid w:val="11D5526B"/>
    <w:multiLevelType w:val="hybridMultilevel"/>
    <w:tmpl w:val="4B22F04A"/>
    <w:lvl w:ilvl="0">
      <w:start w:val="1"/>
      <w:numFmt w:val="lowerLetter"/>
      <w:lvlText w:val="%1)"/>
      <w:lvlJc w:val="left"/>
      <w:pPr>
        <w:ind w:left="420" w:hanging="420"/>
      </w:p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8">
    <w:nsid w:val="1CBE6AA2"/>
    <w:multiLevelType w:val="hybridMultilevel"/>
    <w:tmpl w:val="2E2E253C"/>
    <w:lvl w:ilvl="0">
      <w:start w:val="1"/>
      <w:numFmt w:val="japaneseCounting"/>
      <w:lvlText w:val="%1、"/>
      <w:lvlJc w:val="left"/>
      <w:pPr>
        <w:ind w:left="420" w:hanging="42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9">
    <w:nsid w:val="2E8D0ABB"/>
    <w:multiLevelType w:val="hybridMultilevel"/>
    <w:tmpl w:val="3366504E"/>
    <w:lvl w:ilvl="0">
      <w:start w:val="1"/>
      <w:numFmt w:val="decimal"/>
      <w:lvlText w:val="%1、"/>
      <w:lvlJc w:val="left"/>
      <w:pPr>
        <w:ind w:left="360" w:hanging="36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10">
    <w:nsid w:val="321C1DE2"/>
    <w:multiLevelType w:val="hybridMultilevel"/>
    <w:tmpl w:val="22265DCE"/>
    <w:lvl w:ilvl="0">
      <w:start w:val="1"/>
      <w:numFmt w:val="decimal"/>
      <w:lvlText w:val="%1、"/>
      <w:lvlJc w:val="left"/>
      <w:pPr>
        <w:ind w:left="360" w:hanging="36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11">
    <w:nsid w:val="3ADF2A51"/>
    <w:multiLevelType w:val="hybridMultilevel"/>
    <w:tmpl w:val="29C617B0"/>
    <w:lvl w:ilvl="0">
      <w:start w:val="1"/>
      <w:numFmt w:val="decimal"/>
      <w:lvlText w:val="%1、"/>
      <w:lvlJc w:val="left"/>
      <w:pPr>
        <w:ind w:left="360" w:hanging="36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12">
    <w:nsid w:val="4C0F2D0C"/>
    <w:multiLevelType w:val="hybridMultilevel"/>
    <w:tmpl w:val="A38A8BA6"/>
    <w:lvl w:ilvl="0">
      <w:start w:val="1"/>
      <w:numFmt w:val="decimal"/>
      <w:lvlText w:val="%1、"/>
      <w:lvlJc w:val="left"/>
      <w:pPr>
        <w:ind w:left="360" w:hanging="36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13">
    <w:nsid w:val="4F4C6682"/>
    <w:multiLevelType w:val="hybridMultilevel"/>
    <w:tmpl w:val="68726F16"/>
    <w:lvl w:ilvl="0">
      <w:start w:val="1"/>
      <w:numFmt w:val="decimal"/>
      <w:lvlText w:val="%1、"/>
      <w:lvlJc w:val="left"/>
      <w:pPr>
        <w:ind w:left="360" w:hanging="36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14">
    <w:nsid w:val="534A7AFE"/>
    <w:multiLevelType w:val="hybridMultilevel"/>
    <w:tmpl w:val="95F09A60"/>
    <w:lvl w:ilvl="0">
      <w:start w:val="1"/>
      <w:numFmt w:val="decimal"/>
      <w:lvlText w:val="%1、"/>
      <w:lvlJc w:val="left"/>
      <w:pPr>
        <w:ind w:left="786" w:hanging="360"/>
      </w:pPr>
      <w:rPr>
        <w:rFonts w:hint="default"/>
      </w:rPr>
    </w:lvl>
    <w:lvl w:ilvl="1" w:tentative="1">
      <w:start w:val="1"/>
      <w:numFmt w:val="lowerLetter"/>
      <w:lvlText w:val="%2)"/>
      <w:lvlJc w:val="left"/>
      <w:pPr>
        <w:ind w:left="1266" w:hanging="420"/>
      </w:pPr>
    </w:lvl>
    <w:lvl w:ilvl="2" w:tentative="1">
      <w:start w:val="1"/>
      <w:numFmt w:val="lowerRoman"/>
      <w:lvlText w:val="%3."/>
      <w:lvlJc w:val="right"/>
      <w:pPr>
        <w:ind w:left="1686" w:hanging="420"/>
      </w:pPr>
    </w:lvl>
    <w:lvl w:ilvl="3" w:tentative="1">
      <w:start w:val="1"/>
      <w:numFmt w:val="decimal"/>
      <w:lvlText w:val="%4."/>
      <w:lvlJc w:val="left"/>
      <w:pPr>
        <w:ind w:left="2106" w:hanging="420"/>
      </w:pPr>
    </w:lvl>
    <w:lvl w:ilvl="4" w:tentative="1">
      <w:start w:val="1"/>
      <w:numFmt w:val="lowerLetter"/>
      <w:lvlText w:val="%5)"/>
      <w:lvlJc w:val="left"/>
      <w:pPr>
        <w:ind w:left="2526" w:hanging="420"/>
      </w:pPr>
    </w:lvl>
    <w:lvl w:ilvl="5" w:tentative="1">
      <w:start w:val="1"/>
      <w:numFmt w:val="lowerRoman"/>
      <w:lvlText w:val="%6."/>
      <w:lvlJc w:val="right"/>
      <w:pPr>
        <w:ind w:left="2946" w:hanging="420"/>
      </w:pPr>
    </w:lvl>
    <w:lvl w:ilvl="6" w:tentative="1">
      <w:start w:val="1"/>
      <w:numFmt w:val="decimal"/>
      <w:lvlText w:val="%7."/>
      <w:lvlJc w:val="left"/>
      <w:pPr>
        <w:ind w:left="3366" w:hanging="420"/>
      </w:pPr>
    </w:lvl>
    <w:lvl w:ilvl="7" w:tentative="1">
      <w:start w:val="1"/>
      <w:numFmt w:val="lowerLetter"/>
      <w:lvlText w:val="%8)"/>
      <w:lvlJc w:val="left"/>
      <w:pPr>
        <w:ind w:left="3786" w:hanging="420"/>
      </w:pPr>
    </w:lvl>
    <w:lvl w:ilvl="8" w:tentative="1">
      <w:start w:val="1"/>
      <w:numFmt w:val="lowerRoman"/>
      <w:lvlText w:val="%9."/>
      <w:lvlJc w:val="right"/>
      <w:pPr>
        <w:ind w:left="4206" w:hanging="420"/>
      </w:pPr>
    </w:lvl>
  </w:abstractNum>
  <w:abstractNum w:abstractNumId="15">
    <w:nsid w:val="65D27ECA"/>
    <w:multiLevelType w:val="hybridMultilevel"/>
    <w:tmpl w:val="923A27BC"/>
    <w:lvl w:ilvl="0">
      <w:start w:val="1"/>
      <w:numFmt w:val="decimal"/>
      <w:lvlText w:val="%1．"/>
      <w:lvlJc w:val="left"/>
      <w:pPr>
        <w:ind w:left="360" w:hanging="36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num w:numId="1">
    <w:abstractNumId w:val="0"/>
  </w:num>
  <w:num w:numId="2">
    <w:abstractNumId w:val="1"/>
  </w:num>
  <w:num w:numId="3">
    <w:abstractNumId w:val="7"/>
  </w:num>
  <w:num w:numId="4">
    <w:abstractNumId w:val="2"/>
  </w:num>
  <w:num w:numId="5">
    <w:abstractNumId w:val="8"/>
  </w:num>
  <w:num w:numId="6">
    <w:abstractNumId w:val="3"/>
  </w:num>
  <w:num w:numId="7">
    <w:abstractNumId w:val="5"/>
  </w:num>
  <w:num w:numId="8">
    <w:abstractNumId w:val="15"/>
  </w:num>
  <w:num w:numId="9">
    <w:abstractNumId w:val="14"/>
  </w:num>
  <w:num w:numId="10">
    <w:abstractNumId w:val="11"/>
  </w:num>
  <w:num w:numId="11">
    <w:abstractNumId w:val="13"/>
  </w:num>
  <w:num w:numId="12">
    <w:abstractNumId w:val="12"/>
  </w:num>
  <w:num w:numId="13">
    <w:abstractNumId w:val="9"/>
  </w:num>
  <w:num w:numId="14">
    <w:abstractNumId w:val="4"/>
  </w:num>
  <w:num w:numId="15">
    <w:abstractNumId w:val="10"/>
  </w:num>
  <w:num w:numId="1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efaultTabStop w:val="420"/>
  <w:drawingGridHorizontalSpacing w:val="105"/>
  <w:drawingGridVerticalSpacing w:val="156"/>
  <w:displayHorizontalDrawingGridEvery w:val="0"/>
  <w:displayVerticalDrawingGridEvery w:val="2"/>
  <w:doNotShadeFormData/>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atentStyles>
  <w:style w:type="paragraph" w:default="1" w:styleId="Normal">
    <w:name w:val="Normal"/>
    <w:qFormat/>
    <w:rsid w:val="00AC4F90"/>
    <w:pPr>
      <w:widowControl w:val="0"/>
      <w:jc w:val="both"/>
    </w:pPr>
    <w:rPr>
      <w:kern w:val="2"/>
      <w:sz w:val="21"/>
    </w:rPr>
  </w:style>
  <w:style w:type="paragraph" w:styleId="Heading1">
    <w:name w:val="heading 1"/>
    <w:basedOn w:val="Normal"/>
    <w:next w:val="Normal"/>
    <w:link w:val="10"/>
    <w:qFormat/>
    <w:rsid w:val="00AC4F90"/>
    <w:pPr>
      <w:keepNext/>
      <w:keepLines/>
      <w:spacing w:before="340" w:after="330" w:line="576" w:lineRule="auto"/>
      <w:outlineLvl w:val="0"/>
    </w:pPr>
    <w:rPr>
      <w:b/>
      <w:kern w:val="44"/>
      <w:sz w:val="44"/>
    </w:rPr>
  </w:style>
  <w:style w:type="paragraph" w:styleId="Heading2">
    <w:name w:val="heading 2"/>
    <w:basedOn w:val="Normal"/>
    <w:next w:val="Normal"/>
    <w:link w:val="2"/>
    <w:qFormat/>
    <w:rsid w:val="003F7FB0"/>
    <w:pPr>
      <w:keepNext/>
      <w:keepLines/>
      <w:spacing w:before="260" w:after="260" w:line="413" w:lineRule="auto"/>
      <w:outlineLvl w:val="1"/>
    </w:pPr>
    <w:rPr>
      <w:rFonts w:ascii="宋体" w:hAnsi="宋体"/>
      <w:b/>
      <w:sz w:val="26"/>
    </w:rPr>
  </w:style>
  <w:style w:type="paragraph" w:styleId="Heading3">
    <w:name w:val="heading 3"/>
    <w:basedOn w:val="Normal"/>
    <w:next w:val="Normal"/>
    <w:link w:val="30"/>
    <w:qFormat/>
    <w:rsid w:val="003F7FB0"/>
    <w:pPr>
      <w:keepNext/>
      <w:keepLines/>
      <w:spacing w:before="260" w:after="260" w:line="413" w:lineRule="auto"/>
      <w:outlineLvl w:val="2"/>
    </w:pPr>
    <w:rPr>
      <w:rFonts w:ascii="宋体" w:hAnsi="宋体"/>
      <w:b/>
      <w:sz w:val="26"/>
    </w:rPr>
  </w:style>
  <w:style w:type="paragraph" w:styleId="Heading4">
    <w:name w:val="heading 4"/>
    <w:basedOn w:val="Normal"/>
    <w:next w:val="Normal"/>
    <w:qFormat/>
    <w:rsid w:val="00AC4F90"/>
    <w:pPr>
      <w:keepNext/>
      <w:keepLines/>
      <w:spacing w:before="280" w:after="290" w:line="372" w:lineRule="auto"/>
      <w:outlineLvl w:val="3"/>
    </w:pPr>
    <w:rPr>
      <w:rFonts w:ascii="Arial" w:eastAsia="黑体" w:hAnsi="Arial"/>
      <w:b/>
      <w:sz w:val="28"/>
    </w:rPr>
  </w:style>
  <w:style w:type="paragraph" w:styleId="Heading5">
    <w:name w:val="heading 5"/>
    <w:basedOn w:val="Normal"/>
    <w:next w:val="Normal"/>
    <w:qFormat/>
    <w:rsid w:val="00AC4F90"/>
    <w:pPr>
      <w:keepNext/>
      <w:keepLines/>
      <w:spacing w:before="280" w:after="290" w:line="372" w:lineRule="auto"/>
      <w:outlineLvl w:val="4"/>
    </w:pPr>
    <w:rPr>
      <w:b/>
      <w:sz w:val="28"/>
    </w:rPr>
  </w:style>
  <w:style w:type="paragraph" w:styleId="Heading6">
    <w:name w:val="heading 6"/>
    <w:basedOn w:val="Normal"/>
    <w:next w:val="Normal"/>
    <w:qFormat/>
    <w:rsid w:val="00AC4F90"/>
    <w:pPr>
      <w:keepNext/>
      <w:keepLines/>
      <w:spacing w:before="240" w:after="64" w:line="317" w:lineRule="auto"/>
      <w:ind w:left="851" w:firstLine="200" w:firstLineChars="200"/>
      <w:outlineLvl w:val="5"/>
    </w:pPr>
    <w:rPr>
      <w:rFonts w:ascii="Arial" w:eastAsia="黑体" w:hAnsi="Arial"/>
      <w:b/>
      <w:sz w:val="24"/>
    </w:rPr>
  </w:style>
  <w:style w:type="paragraph" w:styleId="Heading7">
    <w:name w:val="heading 7"/>
    <w:basedOn w:val="Normal"/>
    <w:next w:val="Normal"/>
    <w:qFormat/>
    <w:rsid w:val="00AC4F90"/>
    <w:pPr>
      <w:keepNext/>
      <w:keepLines/>
      <w:spacing w:before="240" w:after="64" w:line="317" w:lineRule="auto"/>
      <w:ind w:left="851" w:firstLine="200" w:firstLineChars="200"/>
      <w:outlineLvl w:val="6"/>
    </w:pPr>
    <w:rPr>
      <w:b/>
      <w:sz w:val="24"/>
    </w:rPr>
  </w:style>
  <w:style w:type="paragraph" w:styleId="Heading8">
    <w:name w:val="heading 8"/>
    <w:basedOn w:val="Normal"/>
    <w:next w:val="Normal"/>
    <w:qFormat/>
    <w:rsid w:val="00AC4F90"/>
    <w:pPr>
      <w:keepNext/>
      <w:keepLines/>
      <w:spacing w:before="240" w:after="64" w:line="317" w:lineRule="auto"/>
      <w:ind w:left="851" w:firstLine="200" w:firstLineChars="200"/>
      <w:outlineLvl w:val="7"/>
    </w:pPr>
    <w:rPr>
      <w:rFonts w:ascii="Arial" w:eastAsia="黑体" w:hAnsi="Arial"/>
      <w:sz w:val="24"/>
    </w:rPr>
  </w:style>
  <w:style w:type="paragraph" w:styleId="Heading9">
    <w:name w:val="heading 9"/>
    <w:basedOn w:val="Normal"/>
    <w:next w:val="Normal"/>
    <w:qFormat/>
    <w:rsid w:val="00AC4F90"/>
    <w:pPr>
      <w:keepNext/>
      <w:keepLines/>
      <w:spacing w:before="240" w:after="64" w:line="317" w:lineRule="auto"/>
      <w:ind w:left="851" w:firstLine="200" w:firstLineChars="200"/>
      <w:outlineLvl w:val="8"/>
    </w:pPr>
    <w:rPr>
      <w:rFonts w:ascii="Arial" w:eastAsia="黑体"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
    <w:name w:val="正文文本 字符"/>
    <w:link w:val="BodyText"/>
    <w:rsid w:val="00AC4F90"/>
    <w:rPr>
      <w:rFonts w:ascii="仿宋_GB2312" w:eastAsia="仿宋_GB2312"/>
      <w:sz w:val="28"/>
      <w:lang w:val="en-US" w:eastAsia="zh-CN"/>
    </w:rPr>
  </w:style>
  <w:style w:type="character" w:customStyle="1" w:styleId="2CharCharChar">
    <w:name w:val="标题 2 Char Char Char"/>
    <w:rsid w:val="00AC4F90"/>
    <w:rPr>
      <w:rFonts w:ascii="Arial" w:eastAsia="宋体" w:hAnsi="Arial"/>
      <w:b/>
      <w:kern w:val="2"/>
      <w:sz w:val="28"/>
      <w:lang w:val="en-US" w:eastAsia="zh-CN"/>
    </w:rPr>
  </w:style>
  <w:style w:type="character" w:customStyle="1" w:styleId="a0">
    <w:name w:val="批注文字 字符"/>
    <w:link w:val="CommentText"/>
    <w:uiPriority w:val="99"/>
    <w:qFormat/>
    <w:rsid w:val="00AC4F90"/>
    <w:rPr>
      <w:rFonts w:eastAsia="宋体"/>
      <w:kern w:val="2"/>
      <w:sz w:val="21"/>
      <w:lang w:val="en-US" w:eastAsia="zh-CN"/>
    </w:rPr>
  </w:style>
  <w:style w:type="character" w:styleId="FootnoteReference">
    <w:name w:val="footnote reference"/>
    <w:uiPriority w:val="99"/>
    <w:rsid w:val="00AC4F90"/>
    <w:rPr>
      <w:vertAlign w:val="superscript"/>
    </w:rPr>
  </w:style>
  <w:style w:type="character" w:customStyle="1" w:styleId="a1">
    <w:name w:val="已访问的超链接"/>
    <w:rsid w:val="00AC4F90"/>
    <w:rPr>
      <w:color w:val="800080"/>
      <w:u w:val="single"/>
    </w:rPr>
  </w:style>
  <w:style w:type="character" w:customStyle="1" w:styleId="afont1">
    <w:name w:val="afont1"/>
    <w:rsid w:val="00AC4F90"/>
    <w:rPr>
      <w:rFonts w:ascii="Arial Narrow" w:hAnsi="Arial Narrow" w:hint="default"/>
      <w:sz w:val="21"/>
    </w:rPr>
  </w:style>
  <w:style w:type="character" w:styleId="Hyperlink">
    <w:name w:val="Hyperlink"/>
    <w:uiPriority w:val="99"/>
    <w:rsid w:val="00AC4F90"/>
    <w:rPr>
      <w:color w:val="0000FF"/>
      <w:u w:val="single"/>
    </w:rPr>
  </w:style>
  <w:style w:type="character" w:customStyle="1" w:styleId="2">
    <w:name w:val="标题 2 字符"/>
    <w:link w:val="Heading2"/>
    <w:rsid w:val="003F7FB0"/>
    <w:rPr>
      <w:rFonts w:ascii="宋体" w:hAnsi="宋体"/>
      <w:b/>
      <w:kern w:val="2"/>
      <w:sz w:val="26"/>
    </w:rPr>
  </w:style>
  <w:style w:type="character" w:styleId="PageNumber">
    <w:name w:val="page number"/>
    <w:basedOn w:val="DefaultParagraphFont"/>
    <w:rsid w:val="00AC4F90"/>
  </w:style>
  <w:style w:type="character" w:customStyle="1" w:styleId="CharCharCharCharCharCharCharChar">
    <w:name w:val="正文文字 Char Char Char Char Char Char Char Char"/>
    <w:aliases w:val="正文文本1,正文文本2,正文文本3"/>
    <w:rsid w:val="00AC4F90"/>
    <w:rPr>
      <w:rFonts w:ascii="仿宋_GB2312" w:eastAsia="仿宋_GB2312"/>
      <w:sz w:val="28"/>
      <w:lang w:val="en-US" w:eastAsia="zh-CN"/>
    </w:rPr>
  </w:style>
  <w:style w:type="character" w:styleId="Strong">
    <w:name w:val="Strong"/>
    <w:uiPriority w:val="22"/>
    <w:qFormat/>
    <w:rsid w:val="00AC4F90"/>
    <w:rPr>
      <w:b/>
    </w:rPr>
  </w:style>
  <w:style w:type="character" w:styleId="CommentReference">
    <w:name w:val="annotation reference"/>
    <w:uiPriority w:val="99"/>
    <w:rsid w:val="00AC4F90"/>
    <w:rPr>
      <w:sz w:val="21"/>
    </w:rPr>
  </w:style>
  <w:style w:type="paragraph" w:styleId="DocumentMap">
    <w:name w:val="Document Map"/>
    <w:basedOn w:val="Normal"/>
    <w:rsid w:val="00AC4F90"/>
    <w:pPr>
      <w:shd w:val="clear" w:color="auto" w:fill="000080"/>
    </w:pPr>
  </w:style>
  <w:style w:type="paragraph" w:styleId="BalloonText">
    <w:name w:val="Balloon Text"/>
    <w:basedOn w:val="Normal"/>
    <w:rsid w:val="00AC4F90"/>
    <w:rPr>
      <w:sz w:val="18"/>
    </w:rPr>
  </w:style>
  <w:style w:type="paragraph" w:customStyle="1" w:styleId="115">
    <w:name w:val="样式 标题 1 + 段前: 1.5 行"/>
    <w:basedOn w:val="Normal"/>
    <w:rsid w:val="00AC4F90"/>
    <w:pPr>
      <w:numPr>
        <w:numId w:val="1"/>
      </w:numPr>
      <w:tabs>
        <w:tab w:val="left" w:pos="360"/>
      </w:tabs>
    </w:pPr>
    <w:rPr>
      <w:sz w:val="24"/>
    </w:rPr>
  </w:style>
  <w:style w:type="paragraph" w:customStyle="1" w:styleId="CharChar2">
    <w:name w:val="Char Char2"/>
    <w:basedOn w:val="Normal"/>
    <w:rsid w:val="00AC4F90"/>
    <w:pPr>
      <w:autoSpaceDE w:val="0"/>
      <w:autoSpaceDN w:val="0"/>
      <w:adjustRightInd w:val="0"/>
      <w:jc w:val="left"/>
      <w:textAlignment w:val="baseline"/>
    </w:pPr>
    <w:rPr>
      <w:rFonts w:ascii="宋体"/>
      <w:kern w:val="0"/>
      <w:sz w:val="34"/>
    </w:rPr>
  </w:style>
  <w:style w:type="paragraph" w:customStyle="1" w:styleId="xl33">
    <w:name w:val="xl33"/>
    <w:basedOn w:val="Normal"/>
    <w:rsid w:val="00AC4F90"/>
    <w:pPr>
      <w:widowControl/>
      <w:pBdr>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kern w:val="0"/>
      <w:sz w:val="24"/>
    </w:rPr>
  </w:style>
  <w:style w:type="paragraph" w:customStyle="1" w:styleId="Char">
    <w:name w:val="Char"/>
    <w:basedOn w:val="Normal"/>
    <w:rsid w:val="00AC4F90"/>
  </w:style>
  <w:style w:type="paragraph" w:customStyle="1" w:styleId="a2">
    <w:name w:val="简单回函地址"/>
    <w:basedOn w:val="Normal"/>
    <w:rsid w:val="00AC4F90"/>
  </w:style>
  <w:style w:type="paragraph" w:styleId="NormalWeb">
    <w:name w:val="Normal (Web)"/>
    <w:basedOn w:val="Normal"/>
    <w:uiPriority w:val="99"/>
    <w:rsid w:val="00AC4F90"/>
    <w:pPr>
      <w:widowControl/>
      <w:spacing w:before="100" w:beforeAutospacing="1" w:after="100" w:afterAutospacing="1"/>
      <w:jc w:val="left"/>
    </w:pPr>
    <w:rPr>
      <w:rFonts w:ascii="宋体" w:hAnsi="宋体"/>
      <w:kern w:val="0"/>
      <w:sz w:val="24"/>
    </w:rPr>
  </w:style>
  <w:style w:type="paragraph" w:styleId="TOC1">
    <w:name w:val="toc 1"/>
    <w:basedOn w:val="Normal"/>
    <w:next w:val="Normal"/>
    <w:uiPriority w:val="39"/>
    <w:rsid w:val="00AC4F90"/>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w:basedOn w:val="Normal"/>
    <w:rsid w:val="00AC4F90"/>
    <w:pPr>
      <w:widowControl/>
      <w:spacing w:after="160" w:line="240" w:lineRule="exact"/>
      <w:jc w:val="left"/>
    </w:pPr>
    <w:rPr>
      <w:rFonts w:ascii="Verdana" w:eastAsia="Times New Roman" w:hAnsi="Verdana"/>
      <w:kern w:val="0"/>
      <w:sz w:val="20"/>
      <w:lang w:eastAsia="en-US"/>
    </w:rPr>
  </w:style>
  <w:style w:type="paragraph" w:customStyle="1" w:styleId="CharCharCharChar">
    <w:name w:val="Char Char Char Char"/>
    <w:basedOn w:val="Normal"/>
    <w:rsid w:val="00AC4F90"/>
    <w:pPr>
      <w:tabs>
        <w:tab w:val="left" w:pos="840"/>
      </w:tabs>
      <w:adjustRightInd w:val="0"/>
      <w:spacing w:line="360" w:lineRule="atLeast"/>
      <w:ind w:left="840" w:hanging="360"/>
      <w:textAlignment w:val="baseline"/>
    </w:pPr>
    <w:rPr>
      <w:sz w:val="24"/>
    </w:rPr>
  </w:style>
  <w:style w:type="paragraph" w:customStyle="1" w:styleId="Style22">
    <w:name w:val="_Style 22"/>
    <w:basedOn w:val="Normal"/>
    <w:rsid w:val="00AC4F90"/>
    <w:pPr>
      <w:autoSpaceDE w:val="0"/>
      <w:autoSpaceDN w:val="0"/>
      <w:adjustRightInd w:val="0"/>
      <w:jc w:val="left"/>
      <w:textAlignment w:val="baseline"/>
    </w:pPr>
  </w:style>
  <w:style w:type="paragraph" w:customStyle="1" w:styleId="FormLabel">
    <w:name w:val="Form Label"/>
    <w:basedOn w:val="Normal"/>
    <w:rsid w:val="00AC4F90"/>
    <w:pPr>
      <w:widowControl/>
      <w:spacing w:line="280" w:lineRule="exact"/>
      <w:jc w:val="left"/>
    </w:pPr>
    <w:rPr>
      <w:kern w:val="0"/>
      <w:sz w:val="18"/>
      <w:lang w:val="en-GB" w:eastAsia="en-US"/>
    </w:rPr>
  </w:style>
  <w:style w:type="paragraph" w:customStyle="1" w:styleId="CharCharCharCharCharCharCharCharChar">
    <w:name w:val="Char Char Char Char Char Char Char Char Char"/>
    <w:basedOn w:val="Normal"/>
    <w:rsid w:val="00AC4F90"/>
    <w:pPr>
      <w:numPr>
        <w:numId w:val="2"/>
      </w:numPr>
      <w:tabs>
        <w:tab w:val="left" w:pos="780"/>
      </w:tabs>
    </w:pPr>
    <w:rPr>
      <w:sz w:val="24"/>
    </w:rPr>
  </w:style>
  <w:style w:type="paragraph" w:customStyle="1" w:styleId="Char1CharCharCharChar">
    <w:name w:val="Char1 Char Char Char Char"/>
    <w:basedOn w:val="Normal"/>
    <w:rsid w:val="00AC4F90"/>
    <w:pPr>
      <w:widowControl/>
      <w:spacing w:after="160" w:line="240" w:lineRule="exact"/>
      <w:jc w:val="left"/>
    </w:pPr>
    <w:rPr>
      <w:rFonts w:ascii="Verdana" w:hAnsi="Verdana"/>
      <w:kern w:val="0"/>
      <w:sz w:val="20"/>
      <w:lang w:eastAsia="en-US"/>
    </w:rPr>
  </w:style>
  <w:style w:type="paragraph" w:customStyle="1" w:styleId="CharCharCharCharCharChar1CharCharChar">
    <w:name w:val="Char Char Char Char Char Char1 Char Char Char"/>
    <w:basedOn w:val="Normal"/>
    <w:rsid w:val="00AC4F90"/>
    <w:pPr>
      <w:autoSpaceDE w:val="0"/>
      <w:autoSpaceDN w:val="0"/>
      <w:adjustRightInd w:val="0"/>
      <w:jc w:val="left"/>
      <w:textAlignment w:val="baseline"/>
    </w:pPr>
    <w:rPr>
      <w:rFonts w:ascii="宋体"/>
      <w:kern w:val="0"/>
      <w:sz w:val="34"/>
    </w:rPr>
  </w:style>
  <w:style w:type="paragraph" w:styleId="CommentSubject">
    <w:name w:val="annotation subject"/>
    <w:basedOn w:val="CommentText"/>
    <w:next w:val="CommentText"/>
    <w:rsid w:val="00AC4F90"/>
    <w:rPr>
      <w:b/>
    </w:rPr>
  </w:style>
  <w:style w:type="paragraph" w:styleId="BodyText2">
    <w:name w:val="Body Text 2"/>
    <w:basedOn w:val="Normal"/>
    <w:rsid w:val="00AC4F90"/>
    <w:pPr>
      <w:spacing w:after="120" w:line="480" w:lineRule="auto"/>
    </w:pPr>
  </w:style>
  <w:style w:type="paragraph" w:customStyle="1" w:styleId="2111111">
    <w:name w:val="样式 样式 样式 标题 2 + 段前: 1 行 段后: 1 行1 + 段前: 1 行 段后: 1 行 + 段前: 1 行 段后..."/>
    <w:basedOn w:val="Normal"/>
    <w:rsid w:val="00AC4F90"/>
    <w:pPr>
      <w:keepNext/>
      <w:keepLines/>
      <w:numPr>
        <w:ilvl w:val="1"/>
        <w:numId w:val="1"/>
      </w:numPr>
      <w:tabs>
        <w:tab w:val="left" w:pos="840"/>
      </w:tabs>
      <w:spacing w:before="447" w:after="447"/>
      <w:outlineLvl w:val="1"/>
    </w:pPr>
    <w:rPr>
      <w:rFonts w:ascii="Arial" w:hAnsi="Arial"/>
      <w:b/>
      <w:sz w:val="28"/>
    </w:rPr>
  </w:style>
  <w:style w:type="paragraph" w:styleId="Header">
    <w:name w:val="header"/>
    <w:basedOn w:val="Normal"/>
    <w:rsid w:val="00AC4F90"/>
    <w:pPr>
      <w:pBdr>
        <w:bottom w:val="single" w:sz="6" w:space="1" w:color="auto"/>
      </w:pBdr>
      <w:tabs>
        <w:tab w:val="center" w:pos="4153"/>
        <w:tab w:val="right" w:pos="8306"/>
      </w:tabs>
      <w:snapToGrid w:val="0"/>
      <w:jc w:val="center"/>
    </w:pPr>
    <w:rPr>
      <w:sz w:val="18"/>
    </w:rPr>
  </w:style>
  <w:style w:type="paragraph" w:styleId="Date">
    <w:name w:val="Date"/>
    <w:basedOn w:val="Normal"/>
    <w:next w:val="Normal"/>
    <w:rsid w:val="00AC4F90"/>
    <w:rPr>
      <w:sz w:val="24"/>
    </w:rPr>
  </w:style>
  <w:style w:type="paragraph" w:styleId="FootnoteText">
    <w:name w:val="footnote text"/>
    <w:basedOn w:val="Normal"/>
    <w:link w:val="a5"/>
    <w:rsid w:val="00AC4F90"/>
    <w:pPr>
      <w:snapToGrid w:val="0"/>
      <w:jc w:val="left"/>
    </w:pPr>
    <w:rPr>
      <w:sz w:val="18"/>
    </w:rPr>
  </w:style>
  <w:style w:type="paragraph" w:customStyle="1" w:styleId="xl30">
    <w:name w:val="xl30"/>
    <w:basedOn w:val="Normal"/>
    <w:rsid w:val="00AC4F90"/>
    <w:pPr>
      <w:widowControl/>
      <w:spacing w:before="100" w:beforeAutospacing="1" w:after="100" w:afterAutospacing="1"/>
      <w:jc w:val="right"/>
    </w:pPr>
    <w:rPr>
      <w:rFonts w:eastAsia="Arial Unicode MS"/>
      <w:kern w:val="0"/>
    </w:rPr>
  </w:style>
  <w:style w:type="paragraph" w:customStyle="1" w:styleId="Char1">
    <w:name w:val="Char1"/>
    <w:basedOn w:val="Normal"/>
    <w:rsid w:val="00AC4F90"/>
  </w:style>
  <w:style w:type="paragraph" w:customStyle="1" w:styleId="Default">
    <w:name w:val="Default"/>
    <w:rsid w:val="00AC4F90"/>
    <w:pPr>
      <w:widowControl w:val="0"/>
      <w:autoSpaceDE w:val="0"/>
      <w:autoSpaceDN w:val="0"/>
      <w:adjustRightInd w:val="0"/>
    </w:pPr>
    <w:rPr>
      <w:rFonts w:ascii="宋体"/>
      <w:color w:val="000000"/>
      <w:sz w:val="24"/>
    </w:rPr>
  </w:style>
  <w:style w:type="paragraph" w:styleId="CommentText">
    <w:name w:val="annotation text"/>
    <w:basedOn w:val="Normal"/>
    <w:link w:val="a0"/>
    <w:uiPriority w:val="99"/>
    <w:qFormat/>
    <w:rsid w:val="00AC4F90"/>
    <w:pPr>
      <w:jc w:val="left"/>
    </w:pPr>
  </w:style>
  <w:style w:type="paragraph" w:customStyle="1" w:styleId="xl31">
    <w:name w:val="xl31"/>
    <w:basedOn w:val="Normal"/>
    <w:rsid w:val="00AC4F90"/>
    <w:pPr>
      <w:widowControl/>
      <w:spacing w:before="100" w:beforeAutospacing="1" w:after="100" w:afterAutospacing="1"/>
      <w:jc w:val="center"/>
      <w:textAlignment w:val="center"/>
    </w:pPr>
    <w:rPr>
      <w:rFonts w:ascii="宋体" w:hAnsi="宋体"/>
      <w:kern w:val="0"/>
      <w:sz w:val="24"/>
    </w:rPr>
  </w:style>
  <w:style w:type="paragraph" w:styleId="BodyText">
    <w:name w:val="Body Text"/>
    <w:basedOn w:val="Normal"/>
    <w:link w:val="a"/>
    <w:rsid w:val="00AC4F90"/>
    <w:pPr>
      <w:adjustRightInd w:val="0"/>
      <w:snapToGrid w:val="0"/>
      <w:spacing w:line="324" w:lineRule="auto"/>
      <w:ind w:right="28"/>
      <w:jc w:val="left"/>
    </w:pPr>
    <w:rPr>
      <w:rFonts w:ascii="仿宋_GB2312" w:eastAsia="仿宋_GB2312"/>
      <w:kern w:val="0"/>
      <w:sz w:val="28"/>
    </w:rPr>
  </w:style>
  <w:style w:type="paragraph" w:styleId="Footer">
    <w:name w:val="footer"/>
    <w:basedOn w:val="Normal"/>
    <w:link w:val="a3"/>
    <w:uiPriority w:val="99"/>
    <w:rsid w:val="00AC4F90"/>
    <w:pPr>
      <w:tabs>
        <w:tab w:val="center" w:pos="4153"/>
        <w:tab w:val="right" w:pos="8306"/>
      </w:tabs>
      <w:snapToGrid w:val="0"/>
      <w:jc w:val="left"/>
    </w:pPr>
    <w:rPr>
      <w:sz w:val="18"/>
    </w:rPr>
  </w:style>
  <w:style w:type="paragraph" w:styleId="TOC2">
    <w:name w:val="toc 2"/>
    <w:basedOn w:val="Normal"/>
    <w:next w:val="Normal"/>
    <w:uiPriority w:val="39"/>
    <w:rsid w:val="00AC4F90"/>
    <w:pPr>
      <w:ind w:left="420" w:leftChars="200"/>
    </w:pPr>
  </w:style>
  <w:style w:type="table" w:styleId="TableGrid">
    <w:name w:val="Table Grid"/>
    <w:basedOn w:val="TableNormal"/>
    <w:rsid w:val="00D003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unhideWhenUsed/>
    <w:rsid w:val="00DC71A0"/>
    <w:pPr>
      <w:ind w:left="840" w:leftChars="400"/>
    </w:pPr>
    <w:rPr>
      <w:rFonts w:ascii="Calibri" w:hAnsi="Calibri"/>
      <w:szCs w:val="22"/>
    </w:rPr>
  </w:style>
  <w:style w:type="paragraph" w:styleId="TOC4">
    <w:name w:val="toc 4"/>
    <w:basedOn w:val="Normal"/>
    <w:next w:val="Normal"/>
    <w:autoRedefine/>
    <w:uiPriority w:val="39"/>
    <w:unhideWhenUsed/>
    <w:rsid w:val="00DC71A0"/>
    <w:pPr>
      <w:ind w:left="1260" w:leftChars="600"/>
    </w:pPr>
    <w:rPr>
      <w:rFonts w:ascii="Calibri" w:hAnsi="Calibri"/>
      <w:szCs w:val="22"/>
    </w:rPr>
  </w:style>
  <w:style w:type="paragraph" w:styleId="TOC5">
    <w:name w:val="toc 5"/>
    <w:basedOn w:val="Normal"/>
    <w:next w:val="Normal"/>
    <w:autoRedefine/>
    <w:uiPriority w:val="39"/>
    <w:unhideWhenUsed/>
    <w:rsid w:val="00DC71A0"/>
    <w:pPr>
      <w:ind w:left="1680" w:leftChars="800"/>
    </w:pPr>
    <w:rPr>
      <w:rFonts w:ascii="Calibri" w:hAnsi="Calibri"/>
      <w:szCs w:val="22"/>
    </w:rPr>
  </w:style>
  <w:style w:type="paragraph" w:styleId="TOC6">
    <w:name w:val="toc 6"/>
    <w:basedOn w:val="Normal"/>
    <w:next w:val="Normal"/>
    <w:autoRedefine/>
    <w:uiPriority w:val="39"/>
    <w:unhideWhenUsed/>
    <w:rsid w:val="00DC71A0"/>
    <w:pPr>
      <w:ind w:left="2100" w:leftChars="1000"/>
    </w:pPr>
    <w:rPr>
      <w:rFonts w:ascii="Calibri" w:hAnsi="Calibri"/>
      <w:szCs w:val="22"/>
    </w:rPr>
  </w:style>
  <w:style w:type="paragraph" w:styleId="TOC7">
    <w:name w:val="toc 7"/>
    <w:basedOn w:val="Normal"/>
    <w:next w:val="Normal"/>
    <w:autoRedefine/>
    <w:uiPriority w:val="39"/>
    <w:unhideWhenUsed/>
    <w:rsid w:val="00DC71A0"/>
    <w:pPr>
      <w:ind w:left="2520" w:leftChars="1200"/>
    </w:pPr>
    <w:rPr>
      <w:rFonts w:ascii="Calibri" w:hAnsi="Calibri"/>
      <w:szCs w:val="22"/>
    </w:rPr>
  </w:style>
  <w:style w:type="paragraph" w:styleId="TOC8">
    <w:name w:val="toc 8"/>
    <w:basedOn w:val="Normal"/>
    <w:next w:val="Normal"/>
    <w:autoRedefine/>
    <w:uiPriority w:val="39"/>
    <w:unhideWhenUsed/>
    <w:rsid w:val="00DC71A0"/>
    <w:pPr>
      <w:ind w:left="2940" w:leftChars="1400"/>
    </w:pPr>
    <w:rPr>
      <w:rFonts w:ascii="Calibri" w:hAnsi="Calibri"/>
      <w:szCs w:val="22"/>
    </w:rPr>
  </w:style>
  <w:style w:type="paragraph" w:styleId="TOC9">
    <w:name w:val="toc 9"/>
    <w:basedOn w:val="Normal"/>
    <w:next w:val="Normal"/>
    <w:autoRedefine/>
    <w:uiPriority w:val="39"/>
    <w:unhideWhenUsed/>
    <w:rsid w:val="00DC71A0"/>
    <w:pPr>
      <w:ind w:left="3360" w:leftChars="1600"/>
    </w:pPr>
    <w:rPr>
      <w:rFonts w:ascii="Calibri" w:hAnsi="Calibri"/>
      <w:szCs w:val="22"/>
    </w:rPr>
  </w:style>
  <w:style w:type="character" w:customStyle="1" w:styleId="10">
    <w:name w:val="标题 1 字符"/>
    <w:link w:val="Heading1"/>
    <w:rsid w:val="006515FF"/>
    <w:rPr>
      <w:b/>
      <w:kern w:val="44"/>
      <w:sz w:val="44"/>
    </w:rPr>
  </w:style>
  <w:style w:type="paragraph" w:styleId="ListParagraph">
    <w:name w:val="List Paragraph"/>
    <w:basedOn w:val="Normal"/>
    <w:uiPriority w:val="34"/>
    <w:qFormat/>
    <w:rsid w:val="008D034C"/>
    <w:pPr>
      <w:ind w:firstLine="420" w:firstLineChars="200"/>
    </w:pPr>
  </w:style>
  <w:style w:type="paragraph" w:styleId="Revision">
    <w:name w:val="Revision"/>
    <w:hidden/>
    <w:uiPriority w:val="71"/>
    <w:unhideWhenUsed/>
    <w:rsid w:val="0082197A"/>
    <w:rPr>
      <w:kern w:val="2"/>
      <w:sz w:val="21"/>
    </w:rPr>
  </w:style>
  <w:style w:type="paragraph" w:styleId="HTMLBottomofForm">
    <w:name w:val="HTML Bottom of Form"/>
    <w:basedOn w:val="Normal"/>
    <w:next w:val="Normal"/>
    <w:link w:val="z-"/>
    <w:hidden/>
    <w:uiPriority w:val="99"/>
    <w:semiHidden/>
    <w:unhideWhenUsed/>
    <w:rsid w:val="00F1715D"/>
    <w:pPr>
      <w:widowControl/>
      <w:pBdr>
        <w:top w:val="single" w:sz="6" w:space="1" w:color="auto"/>
      </w:pBdr>
      <w:jc w:val="center"/>
    </w:pPr>
    <w:rPr>
      <w:rFonts w:ascii="Arial" w:hAnsi="Arial"/>
      <w:vanish/>
      <w:kern w:val="0"/>
      <w:sz w:val="16"/>
      <w:szCs w:val="16"/>
    </w:rPr>
  </w:style>
  <w:style w:type="character" w:customStyle="1" w:styleId="z-">
    <w:name w:val="z-窗体底端 字符"/>
    <w:link w:val="HTMLBottomofForm"/>
    <w:uiPriority w:val="99"/>
    <w:semiHidden/>
    <w:rsid w:val="00F1715D"/>
    <w:rPr>
      <w:rFonts w:ascii="Arial" w:hAnsi="Arial" w:cs="Arial"/>
      <w:vanish/>
      <w:sz w:val="16"/>
      <w:szCs w:val="16"/>
    </w:rPr>
  </w:style>
  <w:style w:type="paragraph" w:customStyle="1" w:styleId="CharCharCharCharCharCharCharCharCharCharCharChar">
    <w:name w:val="Char Char Char Char Char Char Char Char Char Char Char Char"/>
    <w:basedOn w:val="Normal"/>
    <w:rsid w:val="00461210"/>
    <w:pPr>
      <w:widowControl/>
      <w:spacing w:after="160" w:line="240" w:lineRule="exact"/>
      <w:jc w:val="left"/>
    </w:pPr>
    <w:rPr>
      <w:rFonts w:ascii="Tahoma" w:hAnsi="Tahoma" w:cs="Tahoma"/>
      <w:szCs w:val="21"/>
    </w:rPr>
  </w:style>
  <w:style w:type="character" w:customStyle="1" w:styleId="a3">
    <w:name w:val="页脚 字符"/>
    <w:link w:val="Footer"/>
    <w:uiPriority w:val="99"/>
    <w:rsid w:val="001C68D8"/>
    <w:rPr>
      <w:kern w:val="2"/>
      <w:sz w:val="18"/>
    </w:rPr>
  </w:style>
  <w:style w:type="paragraph" w:customStyle="1" w:styleId="p0">
    <w:name w:val="p0"/>
    <w:basedOn w:val="Normal"/>
    <w:rsid w:val="006647E8"/>
    <w:pPr>
      <w:widowControl/>
      <w:spacing w:before="100" w:beforeAutospacing="1" w:after="100" w:afterAutospacing="1"/>
      <w:jc w:val="left"/>
    </w:pPr>
    <w:rPr>
      <w:rFonts w:ascii="宋体" w:hAnsi="宋体" w:cs="宋体"/>
      <w:kern w:val="0"/>
      <w:sz w:val="24"/>
      <w:szCs w:val="24"/>
    </w:rPr>
  </w:style>
  <w:style w:type="character" w:customStyle="1" w:styleId="Char10">
    <w:name w:val="批注文字 Char1"/>
    <w:uiPriority w:val="99"/>
    <w:semiHidden/>
    <w:rsid w:val="003B30D4"/>
  </w:style>
  <w:style w:type="paragraph" w:styleId="EndnoteText">
    <w:name w:val="endnote text"/>
    <w:basedOn w:val="Normal"/>
    <w:link w:val="a4"/>
    <w:semiHidden/>
    <w:unhideWhenUsed/>
    <w:rsid w:val="00983A08"/>
    <w:pPr>
      <w:snapToGrid w:val="0"/>
      <w:jc w:val="left"/>
    </w:pPr>
  </w:style>
  <w:style w:type="character" w:customStyle="1" w:styleId="a4">
    <w:name w:val="尾注文本 字符"/>
    <w:link w:val="EndnoteText"/>
    <w:semiHidden/>
    <w:rsid w:val="00983A08"/>
    <w:rPr>
      <w:kern w:val="2"/>
      <w:sz w:val="21"/>
    </w:rPr>
  </w:style>
  <w:style w:type="character" w:styleId="EndnoteReference">
    <w:name w:val="endnote reference"/>
    <w:semiHidden/>
    <w:unhideWhenUsed/>
    <w:rsid w:val="00983A08"/>
    <w:rPr>
      <w:vertAlign w:val="superscript"/>
    </w:rPr>
  </w:style>
  <w:style w:type="character" w:customStyle="1" w:styleId="11">
    <w:name w:val="批注文字 字符1"/>
    <w:rsid w:val="00120F3B"/>
    <w:rPr>
      <w:kern w:val="2"/>
      <w:sz w:val="21"/>
    </w:rPr>
  </w:style>
  <w:style w:type="character" w:customStyle="1" w:styleId="30">
    <w:name w:val="标题 3 字符"/>
    <w:basedOn w:val="DefaultParagraphFont"/>
    <w:link w:val="Heading3"/>
    <w:rsid w:val="00F6717A"/>
    <w:rPr>
      <w:rFonts w:ascii="宋体" w:hAnsi="宋体"/>
      <w:b/>
      <w:kern w:val="2"/>
      <w:sz w:val="26"/>
    </w:rPr>
  </w:style>
  <w:style w:type="character" w:customStyle="1" w:styleId="a5">
    <w:name w:val="脚注文本 字符"/>
    <w:link w:val="FootnoteText"/>
    <w:rsid w:val="008D77ED"/>
    <w:rPr>
      <w:kern w:val="2"/>
      <w:sz w:val="18"/>
    </w:rPr>
  </w:style>
  <w:style w:type="character" w:customStyle="1" w:styleId="2Char">
    <w:name w:val="标题 2 Char"/>
    <w:rsid w:val="00491CFA"/>
    <w:rPr>
      <w:rFonts w:ascii="Arial" w:eastAsia="黑体" w:hAnsi="Arial"/>
      <w:b/>
      <w:kern w:val="2"/>
      <w:sz w:val="32"/>
      <w:lang w:val="en-US" w:eastAsia="zh-CN"/>
    </w:rPr>
  </w:style>
  <w:style w:type="paragraph" w:customStyle="1" w:styleId="ccb">
    <w:name w:val="ccb正文"/>
    <w:basedOn w:val="Normal"/>
    <w:qFormat/>
    <w:rsid w:val="00436AFF"/>
    <w:pPr>
      <w:spacing w:line="360" w:lineRule="auto"/>
      <w:ind w:firstLine="560" w:firstLineChars="200"/>
    </w:pPr>
    <w:rPr>
      <w:rFonts w:ascii="彩虹小标宋" w:eastAsia="彩虹小标宋" w:hAnsi="宋体" w:cs="宋体"/>
      <w:color w:val="000000"/>
      <w:sz w:val="28"/>
      <w:szCs w:val="28"/>
    </w:rPr>
  </w:style>
  <w:style w:type="paragraph" w:customStyle="1" w:styleId="Normal0">
    <w:name w:val="Normal_0"/>
    <w:qFormat/>
    <w:pPr>
      <w:widowControl w:val="0"/>
      <w:jc w:val="both"/>
    </w:pPr>
    <w:rPr>
      <w:kern w:val="2"/>
      <w:sz w:val="21"/>
    </w:rPr>
  </w:style>
  <w:style w:type="paragraph" w:customStyle="1" w:styleId="Heading20">
    <w:name w:val="Heading 2_0"/>
    <w:basedOn w:val="Normal1"/>
    <w:next w:val="Normal1"/>
    <w:link w:val="200"/>
    <w:qFormat/>
    <w:rsid w:val="00EA25B3"/>
    <w:pPr>
      <w:keepNext/>
      <w:keepLines/>
      <w:spacing w:before="260" w:after="260" w:line="412" w:lineRule="auto"/>
      <w:outlineLvl w:val="1"/>
    </w:pPr>
    <w:rPr>
      <w:rFonts w:ascii="宋体" w:hAnsi="宋体" w:hint="eastAsia"/>
      <w:b/>
      <w:sz w:val="26"/>
    </w:rPr>
  </w:style>
  <w:style w:type="paragraph" w:customStyle="1" w:styleId="Normal1">
    <w:name w:val="Normal_1"/>
    <w:qFormat/>
    <w:rsid w:val="00EA25B3"/>
    <w:pPr>
      <w:widowControl w:val="0"/>
      <w:jc w:val="both"/>
    </w:pPr>
    <w:rPr>
      <w:kern w:val="2"/>
      <w:sz w:val="21"/>
    </w:rPr>
  </w:style>
  <w:style w:type="character" w:customStyle="1" w:styleId="200">
    <w:name w:val="标题 2 字符_0"/>
    <w:basedOn w:val="DefaultParagraphFont"/>
    <w:link w:val="Heading20"/>
    <w:rsid w:val="00EA25B3"/>
    <w:rPr>
      <w:rFonts w:ascii="宋体" w:eastAsia="宋体" w:hAnsi="宋体" w:cs="宋体" w:hint="eastAsia"/>
      <w:b/>
      <w:kern w:val="2"/>
      <w:sz w:val="26"/>
    </w:rPr>
  </w:style>
  <w:style w:type="paragraph" w:customStyle="1" w:styleId="Heading21">
    <w:name w:val="Heading 2_1"/>
    <w:basedOn w:val="Normal2"/>
    <w:next w:val="Normal2"/>
    <w:link w:val="21"/>
    <w:qFormat/>
    <w:rsid w:val="00916742"/>
    <w:pPr>
      <w:keepNext/>
      <w:keepLines/>
      <w:spacing w:before="260" w:after="260" w:line="413" w:lineRule="auto"/>
      <w:outlineLvl w:val="1"/>
    </w:pPr>
    <w:rPr>
      <w:rFonts w:ascii="宋体" w:hAnsi="宋体"/>
      <w:b/>
      <w:sz w:val="26"/>
      <w:szCs w:val="20"/>
    </w:rPr>
  </w:style>
  <w:style w:type="paragraph" w:customStyle="1" w:styleId="Normal2">
    <w:name w:val="Normal_2"/>
    <w:qFormat/>
    <w:rsid w:val="00DB6AAD"/>
    <w:pPr>
      <w:widowControl w:val="0"/>
      <w:jc w:val="both"/>
    </w:pPr>
    <w:rPr>
      <w:rFonts w:ascii="Calibri" w:hAnsi="Calibri"/>
      <w:kern w:val="2"/>
      <w:sz w:val="21"/>
      <w:szCs w:val="22"/>
    </w:rPr>
  </w:style>
  <w:style w:type="character" w:customStyle="1" w:styleId="21">
    <w:name w:val="标题 2 字符_1"/>
    <w:link w:val="Heading21"/>
    <w:rsid w:val="00916742"/>
    <w:rPr>
      <w:rFonts w:ascii="宋体" w:hAnsi="宋体"/>
      <w:b/>
      <w:kern w:val="2"/>
      <w:sz w:val="26"/>
    </w:rPr>
  </w:style>
  <w:style w:type="paragraph" w:customStyle="1" w:styleId="Heading22">
    <w:name w:val="Heading 2_2"/>
    <w:basedOn w:val="Normal3"/>
    <w:next w:val="Normal3"/>
    <w:link w:val="22"/>
    <w:qFormat/>
    <w:rsid w:val="00916742"/>
    <w:pPr>
      <w:keepNext/>
      <w:keepLines/>
      <w:spacing w:before="260" w:after="260" w:line="413" w:lineRule="auto"/>
      <w:outlineLvl w:val="1"/>
    </w:pPr>
    <w:rPr>
      <w:rFonts w:ascii="宋体" w:hAnsi="宋体"/>
      <w:b/>
      <w:sz w:val="26"/>
      <w:szCs w:val="20"/>
    </w:rPr>
  </w:style>
  <w:style w:type="paragraph" w:customStyle="1" w:styleId="Normal3">
    <w:name w:val="Normal_3"/>
    <w:qFormat/>
    <w:rsid w:val="00DB6AAD"/>
    <w:pPr>
      <w:widowControl w:val="0"/>
      <w:jc w:val="both"/>
    </w:pPr>
    <w:rPr>
      <w:rFonts w:ascii="Calibri" w:hAnsi="Calibri"/>
      <w:kern w:val="2"/>
      <w:sz w:val="21"/>
      <w:szCs w:val="22"/>
    </w:rPr>
  </w:style>
  <w:style w:type="character" w:customStyle="1" w:styleId="22">
    <w:name w:val="标题 2 字符_2"/>
    <w:link w:val="Heading22"/>
    <w:rsid w:val="00916742"/>
    <w:rPr>
      <w:rFonts w:ascii="宋体" w:hAnsi="宋体"/>
      <w:b/>
      <w:kern w:val="2"/>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no"?>
<Relationships xmlns="http://schemas.openxmlformats.org/package/2006/relationships">
<Relationship Id="rId1" Target="settings.xml" Type="http://schemas.openxmlformats.org/officeDocument/2006/relationships/settings"/>
<Relationship Id="rId10" Target="styles.xml" Type="http://schemas.openxmlformats.org/officeDocument/2006/relationships/styles"/>
<Relationship Id="rId2" Target="webSettings.xml" Type="http://schemas.openxmlformats.org/officeDocument/2006/relationships/webSettings"/>
<Relationship Id="rId3" Target="fontTable.xml" Type="http://schemas.openxmlformats.org/officeDocument/2006/relationships/fontTable"/>
<Relationship Id="rId4" Target="../customXml/item1.xml" Type="http://schemas.openxmlformats.org/officeDocument/2006/relationships/customXml"/>
<Relationship Id="rId5" Target="header1.xml" Type="http://schemas.openxmlformats.org/officeDocument/2006/relationships/header"/>
<Relationship Id="rId6" Target="footer1.xml" Type="http://schemas.openxmlformats.org/officeDocument/2006/relationships/footer"/>
<Relationship Id="rId7" Target="footer2.xml" Type="http://schemas.openxmlformats.org/officeDocument/2006/relationships/footer"/>
<Relationship Id="rId8" Target="theme/theme1.xml" Type="http://schemas.openxmlformats.org/officeDocument/2006/relationships/theme"/>
<Relationship Id="rId9" Target="numbering.xml" Type="http://schemas.openxmlformats.org/officeDocument/2006/relationships/numberi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C99ABD-A3C3-4586-BF27-4A3E655D09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641</Words>
  <Characters>3656</Characters>
  <Application>Microsoft Office Word</Application>
  <DocSecurity>0</DocSecurity>
  <Lines>30</Lines>
  <Paragraphs>8</Paragraphs>
  <ScaleCrop>false</ScaleCrop>
  <Company>WwW.YlmF.CoM</Company>
  <LinksUpToDate>false</LinksUpToDate>
  <CharactersWithSpaces>4289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2025-03-24T08:24:00Z</dcterms:created>
  <dc:creator>CSRC</dc:creator>
  <cp:lastModifiedBy>胡伟</cp:lastModifiedBy>
  <cp:lastPrinted>2019-06-25T10:32:00Z</cp:lastPrinted>
  <dcterms:modified xsi:type="dcterms:W3CDTF">2025-03-24T08:24:00Z</dcterms:modified>
  <cp:revision>3</cp:revision>
  <dc:subject>非货币</dc:subject>
  <dc:title>证券投资基金信息披露XBRL标引规范第2号&lt;半年度报告摘要&gt;</dc:title>
</cp:coreProperties>
</file>