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招银理财招睿丰和（短债）7天持有期1号固定收益类理财计划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107507</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招银理财招睿丰和（短债）7天持有期1号固定收益类理财计划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本报告期自2024年01月01日起至2024年12月31日止。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107507</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招银理财招睿丰和（短债）7天持有期1号固定收益类理财计划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Z7001621000275</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107507：业绩比较基准上限为3.80%，下限为2.20%;107507CS：业绩比较基准上限为3.80%，下限为2.20%;17507MS：业绩比较基准上限为3.80%，下限为2.20%;17507TL：业绩比较基准上限为3.80%，下限为2.20%;17507V：业绩比较基准上限为3.80%，下限为2.20%;17507W：业绩比较基准上限为3.80%，下限为2.20%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根据产品说明书约定投资范围内各类资产的收益率水平、投资比例、市场情况进行静态测算和情景分析，确定本理财产品业绩比较基准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11,879,125,777.53</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2021年09月15日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2031年09月15日（如遇非工作日顺延至下一工作日，或在理财计划存续期内理财产品管理人根据本产品说明书约定事由宣布提前或延期终止本理财计划之日。）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12,934,867,955.96</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107507】份额为11,833,807,142.64份，份额净值为1.0889元，份额累计净值为1.0889元；销售代码【107507CS】份额为4,332.39份，份额净值为1.0897元，份额累计净值为1.0897元；销售代码【17507MS】份额为8,297,094.71份，份额净值为1.0888元，份额累计净值为1.0888元；销售代码【17507TL】份额为29,901,126.02份，份额净值为1.0887元，份额累计净值为1.0887元；销售代码【17507V】份额为1,654,307.97份，份额净值为1.0887元，份额累计净值为1.0887元；销售代码【17507W】份额为5,461,773.80份，份额净值为1.0888元，份额累计净值为1.0888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2.49%</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2.21%</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2.30%</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2.74%</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2.48%</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2.70%</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2021年09月15日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回顾市场，2024年四季度，受益于货币政策的利好以及市场多头情绪的强化，债券收益率整体大幅下行。10月前期权益市场重回3000点，“股债跷跷板”效益对债市造成影响，收益率区间震荡；随后央行宣布调降LPR，以及多项重要会议陆续召开，市场对货币政策的预期较前期更乐观，交投情绪不断走高，市场开启“抢跑”行情，10年期国债利率迅速下行，年底突破1.7%的历史低位。全年来看，有多项因素共同推动了债券收益率的下行，如在政府化债背景下的信用债净融资收紧、监管对资金空转套利的打击、地产销售数据的不断探底等，而对债市不利的因素主要是财政政策的超预期，从结果来看多头占优，市场交投情绪愈到年底则愈发活跃，长债利率达到历史新低。</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产品报告期内整体运作稳健。债券配置方面，在市场收益率快速下行的过程中，产品积极调整资产配置结构，适度增加久期和杠杠，不仅把握住收益率下行的市场机会，也努力保持对回撤的控制和波动率的管控。后续产品将逐步采取防守策略，做好止盈，打造更平稳的产品净值体验。</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503,735,455.34</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98,903,718.39</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1、本产品投资于关联方发行管理的资管产品，应付管理费922,699.98元；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2、报告期内，本产品向招商银行股份有限公司实付销售服务费用18,257,468.27元，实付托管费用3,915,024.80元。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147,802,081.24</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5,836,791.20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0.04</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5,956,387,209.02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43.74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3,344,286,405.60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24.58</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4,140,625,938.74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30.41</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358,365,362.08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2.63</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2,579,222,617.53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18.96</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3,015,777,640.57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22.15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87,406,954.35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0.64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58,391,150.55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0.43</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7,677,047,832.32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56.42</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13,606,393,646.65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13,616,954,255.31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定期存款1240649630104001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614,748,490.72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4.75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定期存款1220139790104001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358,900,187.88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2.77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24中国银行CD073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248,157,620.88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24中国银行CD024</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206,240,750.96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24交通银行CD345</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199,644,539.13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24农业银行CD129</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199,543,808.70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24工商银行CD113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198,484,227.41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定期存款1210286300102006</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175,885,413.97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1.36</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定期存款1220074430103005</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173,313,145.40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定期存款1220074430103006</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168,731,169.45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1.30</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招银理财招睿丰和（短债）7天持有期1号固定收益类理财计划2024年年度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107507</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