
<file path=[Content_Types].xml><?xml version="1.0" encoding="utf-8"?>
<Types xmlns="http://schemas.openxmlformats.org/package/2006/content-types">
  <Default ContentType="application/vnd.openxmlformats-package.relationships+xml" Extension="rels"/>
  <Default ContentType="application/xml" Extens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11.0.0 -->
  <w:background w:color="ffffff">
    <v:background id="_x0000_s1025" filled="t"/>
  </w:background>
  <w:body>
    <w:p w:rsidR="00680F50" w:rsidRPr="004C7F8B" w:rsidP="00E157CE">
      <w:pPr>
        <w:jc w:val="center"/>
        <w:rPr>
          <w:rFonts w:ascii="宋体" w:hAnsi="宋体"/>
          <w:b/>
          <w:color w:val="000000"/>
          <w:sz w:val="32"/>
          <w:szCs w:val="32"/>
          <w:shd w:val="clear" w:color="auto" w:fill="FFFFFF"/>
        </w:rPr>
      </w:pPr>
      <w:r>
        <w:rPr>
          <w:rFonts w:ascii="宋体" w:hAnsi="宋体" w:hint="eastAsia"/>
          <w:b/>
          <w:color w:val="000000"/>
          <w:sz w:val="32"/>
          <w:szCs w:val="32"/>
          <w:shd w:val="clear" w:color="auto" w:fill="FFFFFF"/>
        </w:rPr>
        <w:t xml:space="preserve"> </w:t>
      </w:r>
    </w:p>
    <w:p w:rsidR="00680F50" w:rsidRPr="004C7F8B" w:rsidP="00E157CE">
      <w:pPr>
        <w:jc w:val="center"/>
        <w:rPr>
          <w:rFonts w:ascii="宋体" w:hAnsi="宋体"/>
          <w:b/>
          <w:color w:val="000000"/>
          <w:sz w:val="32"/>
          <w:szCs w:val="32"/>
          <w:shd w:val="clear" w:color="auto" w:fill="FFFFFF"/>
        </w:rPr>
      </w:pPr>
    </w:p>
    <w:p w:rsidR="00120F3B" w:rsidP="00120F3B">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招银理财招睿活钱管家（添金）2号固定收益类理财计划</w:t>
      </w:r>
    </w:p>
    <w:p w:rsidR="00AF5DEE" w:rsidRPr="004C7F8B" w:rsidP="00AF5DEE">
      <w:pPr>
        <w:jc w:val="center"/>
        <w:rPr>
          <w:rFonts w:ascii="宋体" w:hAnsi="宋体"/>
          <w:b/>
          <w:color w:val="000000"/>
          <w:sz w:val="32"/>
          <w:szCs w:val="32"/>
          <w:shd w:val="clear" w:color="auto" w:fill="FFFFFF"/>
        </w:rPr>
      </w:pPr>
      <w:r>
        <w:rPr>
          <w:rFonts w:ascii="宋体" w:eastAsia="宋体" w:hAnsi="宋体" w:cs="宋体"/>
          <w:b/>
          <w:i w:val="0"/>
          <w:color w:val="000000"/>
          <w:position w:val="-1"/>
          <w:sz w:val="32"/>
          <w:u w:val="none"/>
        </w:rPr>
        <w:t>2024</w:t>
      </w:r>
      <w:r w:rsidR="000D55A6">
        <w:rPr>
          <w:rFonts w:ascii="宋体" w:hAnsi="宋体" w:hint="eastAsia"/>
          <w:b/>
          <w:color w:val="000000"/>
          <w:sz w:val="32"/>
          <w:szCs w:val="32"/>
          <w:shd w:val="clear" w:color="auto" w:fill="FFFFFF"/>
        </w:rPr>
        <w:t>年</w:t>
      </w:r>
      <w:r>
        <w:rPr>
          <w:rFonts w:ascii="宋体" w:eastAsia="宋体" w:hAnsi="宋体" w:cs="宋体"/>
          <w:b/>
          <w:i w:val="0"/>
          <w:color w:val="000000"/>
          <w:position w:val="-1"/>
          <w:sz w:val="32"/>
          <w:u w:val="none"/>
        </w:rPr>
        <w:t>年度</w:t>
      </w:r>
      <w:r w:rsidRPr="004C7F8B">
        <w:rPr>
          <w:rFonts w:ascii="宋体" w:hAnsi="宋体" w:hint="eastAsia"/>
          <w:b/>
          <w:color w:val="000000"/>
          <w:sz w:val="32"/>
          <w:szCs w:val="32"/>
          <w:shd w:val="clear" w:color="auto" w:fill="FFFFFF"/>
        </w:rPr>
        <w:t>报告</w:t>
      </w:r>
    </w:p>
    <w:p w:rsidR="00AF5DEE" w:rsidRPr="004C7F8B" w:rsidP="00AF5DEE">
      <w:pPr>
        <w:jc w:val="center"/>
        <w:rPr>
          <w:rFonts w:ascii="宋体" w:hAnsi="宋体"/>
          <w:b/>
          <w:sz w:val="32"/>
          <w:szCs w:val="32"/>
          <w:shd w:val="clear" w:color="auto" w:fill="FFFFFF"/>
        </w:rPr>
      </w:pPr>
      <w:r w:rsidRPr="004C7F8B">
        <w:rPr>
          <w:rFonts w:ascii="宋体" w:hAnsi="宋体" w:hint="eastAsia"/>
          <w:b/>
          <w:sz w:val="32"/>
          <w:szCs w:val="32"/>
          <w:shd w:val="clear" w:color="auto" w:fill="FFFFFF"/>
        </w:rPr>
        <w:t>（</w:t>
      </w:r>
      <w:r w:rsidR="00536C4E">
        <w:rPr>
          <w:rFonts w:ascii="宋体" w:hAnsi="宋体" w:hint="eastAsia"/>
          <w:b/>
          <w:sz w:val="32"/>
          <w:szCs w:val="32"/>
          <w:shd w:val="clear" w:color="auto" w:fill="FFFFFF"/>
        </w:rPr>
        <w:t>产品</w:t>
      </w:r>
      <w:r w:rsidRPr="004C7F8B">
        <w:rPr>
          <w:rFonts w:ascii="宋体" w:hAnsi="宋体"/>
          <w:b/>
          <w:sz w:val="32"/>
          <w:szCs w:val="32"/>
          <w:shd w:val="clear" w:color="auto" w:fill="FFFFFF"/>
        </w:rPr>
        <w:t>代码：</w:t>
      </w:r>
      <w:r>
        <w:rPr>
          <w:rFonts w:ascii="宋体" w:eastAsia="宋体" w:hAnsi="宋体" w:cs="宋体"/>
          <w:b/>
          <w:i w:val="0"/>
          <w:color w:val="000000"/>
          <w:position w:val="-1"/>
          <w:sz w:val="32"/>
          <w:u w:val="none"/>
        </w:rPr>
        <w:t>100903</w:t>
      </w:r>
      <w:r w:rsidRPr="004C7F8B">
        <w:rPr>
          <w:rFonts w:ascii="宋体" w:hAnsi="宋体" w:hint="eastAsia"/>
          <w:b/>
          <w:sz w:val="32"/>
          <w:szCs w:val="32"/>
          <w:shd w:val="clear" w:color="auto" w:fill="FFFFFF"/>
        </w:rPr>
        <w:t>）</w:t>
      </w:r>
    </w:p>
    <w:p w:rsidR="00AF5DEE" w:rsidRPr="00B66A56" w:rsidP="00AF5DEE">
      <w:pPr>
        <w:jc w:val="center"/>
        <w:rPr>
          <w:rFonts w:ascii="宋体" w:hAnsi="宋体"/>
          <w:b/>
          <w:sz w:val="32"/>
          <w:szCs w:val="32"/>
          <w:shd w:val="clear" w:color="auto" w:fill="FFFFFF"/>
        </w:rPr>
      </w:pPr>
    </w:p>
    <w:p w:rsidR="00AF5DEE" w:rsidP="00AF5DEE">
      <w:pPr>
        <w:jc w:val="center"/>
        <w:rPr>
          <w:rFonts w:ascii="宋体" w:hAnsi="宋体"/>
          <w:sz w:val="24"/>
          <w:shd w:val="clear" w:color="auto" w:fill="FFFFFF"/>
        </w:rPr>
      </w:pPr>
    </w:p>
    <w:p w:rsidR="00AF5DEE" w:rsidRPr="007105A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D02D02"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P="00AF5DEE">
      <w:pPr>
        <w:jc w:val="center"/>
        <w:rPr>
          <w:rFonts w:ascii="宋体" w:hAnsi="宋体"/>
          <w:sz w:val="24"/>
          <w:shd w:val="clear" w:color="auto" w:fill="FFFFFF"/>
        </w:rPr>
      </w:pPr>
    </w:p>
    <w:p w:rsidR="00AF5DEE" w:rsidRPr="007D03D5" w:rsidP="00AF5DEE">
      <w:pPr>
        <w:jc w:val="center"/>
        <w:rPr>
          <w:rFonts w:ascii="宋体" w:hAnsi="宋体"/>
          <w:sz w:val="24"/>
          <w:shd w:val="clear" w:color="auto" w:fill="FFFFFF"/>
        </w:rPr>
      </w:pPr>
    </w:p>
    <w:p w:rsidR="00AF5DEE" w:rsidRPr="004C7F8B" w:rsidP="00AF5DEE">
      <w:pPr>
        <w:jc w:val="center"/>
        <w:rPr>
          <w:rFonts w:ascii="宋体" w:hAnsi="宋体"/>
          <w:sz w:val="24"/>
          <w:shd w:val="clear" w:color="auto" w:fill="FFFFFF"/>
        </w:rPr>
      </w:pPr>
    </w:p>
    <w:p w:rsidR="00AF5DEE" w:rsidRPr="004C7F8B" w:rsidP="00AF5DEE">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理财产品管理人：</w:t>
      </w:r>
      <w:r>
        <w:rPr>
          <w:rFonts w:ascii="宋体" w:eastAsia="宋体" w:hAnsi="宋体" w:cs="宋体"/>
          <w:b w:val="0"/>
          <w:i w:val="0"/>
          <w:color w:val="000000"/>
          <w:position w:val="-1"/>
          <w:sz w:val="24"/>
          <w:u w:val="none"/>
        </w:rPr>
        <w:t>招银理财有限责任公司</w:t>
      </w:r>
    </w:p>
    <w:p w:rsidR="00AF5DEE" w:rsidRPr="004C7F8B" w:rsidP="00F17D61">
      <w:pPr>
        <w:spacing w:line="360" w:lineRule="auto"/>
        <w:ind w:firstLine="1890" w:firstLineChars="900"/>
        <w:rPr>
          <w:rFonts w:ascii="宋体" w:hAnsi="宋体"/>
          <w:sz w:val="24"/>
          <w:shd w:val="clear" w:color="auto" w:fill="FFFFFF"/>
        </w:rPr>
      </w:pPr>
      <w:r w:rsidRPr="004C7F8B">
        <w:rPr>
          <w:rFonts w:ascii="宋体" w:hAnsi="宋体"/>
          <w:sz w:val="24"/>
          <w:shd w:val="clear" w:color="auto" w:fill="FFFFFF"/>
        </w:rPr>
        <w:t>理财产品托管人：</w:t>
      </w:r>
      <w:r>
        <w:rPr>
          <w:rFonts w:ascii="宋体" w:eastAsia="宋体" w:hAnsi="宋体" w:cs="宋体"/>
          <w:b w:val="0"/>
          <w:i w:val="0"/>
          <w:color w:val="000000"/>
          <w:position w:val="-1"/>
          <w:sz w:val="24"/>
          <w:u w:val="none"/>
        </w:rPr>
        <w:t>招商银行股份有限公司</w:t>
      </w:r>
    </w:p>
    <w:p w:rsidR="0028648D">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pPr>
        <w:jc w:val="center"/>
        <w:rPr>
          <w:rFonts w:ascii="宋体" w:hAnsi="宋体"/>
          <w:b/>
          <w:sz w:val="32"/>
          <w:szCs w:val="32"/>
          <w:shd w:val="clear" w:color="auto" w:fill="FFFFFF"/>
        </w:rPr>
      </w:pPr>
    </w:p>
    <w:p w:rsidR="00AF5DEE" w:rsidRPr="00AF5DEE">
      <w:pPr>
        <w:jc w:val="center"/>
        <w:rPr>
          <w:rFonts w:ascii="宋体" w:hAnsi="宋体"/>
          <w:b/>
          <w:sz w:val="32"/>
          <w:szCs w:val="32"/>
          <w:shd w:val="clear" w:color="auto" w:fill="FFFFFF"/>
        </w:rPr>
      </w:pPr>
    </w:p>
    <w:p w:rsidR="00680F50" w:rsidRPr="004C7F8B">
      <w:pPr>
        <w:jc w:val="center"/>
        <w:rPr>
          <w:rFonts w:ascii="宋体" w:hAnsi="宋体"/>
          <w:b/>
          <w:sz w:val="32"/>
          <w:szCs w:val="32"/>
          <w:shd w:val="clear" w:color="auto" w:fill="FFFFFF"/>
        </w:rPr>
      </w:pPr>
    </w:p>
    <w:p w:rsidR="00380479" w:rsidRPr="004C7F8B">
      <w:pPr>
        <w:jc w:val="center"/>
        <w:rPr>
          <w:rFonts w:ascii="宋体" w:hAnsi="宋体"/>
          <w:b/>
          <w:sz w:val="30"/>
          <w:shd w:val="clear" w:color="auto" w:fill="FFFFFF"/>
        </w:rPr>
      </w:pPr>
      <w:r w:rsidRPr="004C7F8B">
        <w:rPr>
          <w:rFonts w:ascii="宋体" w:hAnsi="宋体" w:hint="eastAsia"/>
          <w:b/>
          <w:sz w:val="30"/>
          <w:shd w:val="clear" w:color="auto" w:fill="FFFFFF"/>
        </w:rPr>
        <w:t>目    录</w:t>
      </w:r>
    </w:p>
    <w:p w:rsidR="00380479" w:rsidRPr="004C7F8B">
      <w:pPr>
        <w:jc w:val="center"/>
        <w:rPr>
          <w:rFonts w:ascii="宋体" w:hAnsi="宋体"/>
          <w:b/>
          <w:sz w:val="30"/>
          <w:shd w:val="clear" w:color="auto" w:fill="FFFFFF"/>
        </w:rPr>
      </w:pPr>
    </w:p>
    <w:p>
      <w:pPr>
        <w:pStyle w:val="TOC1"/>
        <w:tabs>
          <w:tab w:val="right" w:leader="dot" w:pos="9060"/>
        </w:tabs>
        <w:rPr>
          <w:rFonts w:asciiTheme="minorHAnsi" w:hAnsiTheme="minorHAnsi"/>
          <w:noProof/>
          <w:sz w:val="22"/>
        </w:rPr>
      </w:pPr>
      <w:r>
        <w:fldChar w:fldCharType="begin"/>
      </w:r>
      <w:r>
        <w:instrText>TOC \o "1-2" \h \z \u</w:instrText>
      </w:r>
      <w:r>
        <w:fldChar w:fldCharType="separate"/>
      </w:r>
      <w:r>
        <w:fldChar w:fldCharType="begin"/>
      </w:r>
      <w:r>
        <w:rPr>
          <w:rStyle w:val="Hyperlink"/>
        </w:rPr>
        <w:instrText xml:space="preserve"> HYPERLINK \l "_Toc256000000" </w:instrText>
      </w:r>
      <w:r>
        <w:fldChar w:fldCharType="separate"/>
      </w:r>
      <w:r w:rsidRPr="00A642F9">
        <w:rPr>
          <w:rStyle w:val="Hyperlink"/>
          <w:rFonts w:ascii="宋体" w:hAnsi="宋体" w:hint="eastAsia"/>
          <w:shd w:val="clear" w:color="auto" w:fill="FFFFFF"/>
        </w:rPr>
        <w:t>§1 重要提示</w:t>
      </w:r>
      <w:r>
        <w:rPr>
          <w:rStyle w:val="Hyperlink"/>
        </w:rPr>
        <w:tab/>
      </w:r>
      <w:r>
        <w:fldChar w:fldCharType="begin"/>
      </w:r>
      <w:r>
        <w:rPr>
          <w:rStyle w:val="Hyperlink"/>
        </w:rPr>
        <w:instrText xml:space="preserve"> PAGEREF _Toc256000000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"_Toc256000001" </w:instrText>
      </w:r>
      <w:r>
        <w:fldChar w:fldCharType="separate"/>
      </w:r>
      <w:r w:rsidRPr="00A642F9">
        <w:rPr>
          <w:rStyle w:val="Hyperlink"/>
          <w:rFonts w:hint="eastAsia"/>
          <w:shd w:val="clear" w:color="auto" w:fill="FFFFFF"/>
        </w:rPr>
        <w:t>1.1 重要提示</w:t>
      </w:r>
      <w:r>
        <w:rPr>
          <w:rStyle w:val="Hyperlink"/>
        </w:rPr>
        <w:tab/>
      </w:r>
      <w:r>
        <w:fldChar w:fldCharType="begin"/>
      </w:r>
      <w:r>
        <w:rPr>
          <w:rStyle w:val="Hyperlink"/>
        </w:rPr>
        <w:instrText xml:space="preserve"> PAGEREF _Toc256000001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"_Toc256000002" </w:instrText>
      </w:r>
      <w:r>
        <w:fldChar w:fldCharType="separate"/>
      </w:r>
      <w:r w:rsidRPr="00A642F9">
        <w:rPr>
          <w:rStyle w:val="Hyperlink"/>
          <w:rFonts w:ascii="宋体" w:hAnsi="宋体" w:hint="eastAsia"/>
          <w:shd w:val="clear" w:color="auto" w:fill="FFFFFF"/>
        </w:rPr>
        <w:t>§2 理财产品简介</w:t>
      </w:r>
      <w:r>
        <w:rPr>
          <w:rStyle w:val="Hyperlink"/>
        </w:rPr>
        <w:tab/>
      </w:r>
      <w:r>
        <w:fldChar w:fldCharType="begin"/>
      </w:r>
      <w:r>
        <w:rPr>
          <w:rStyle w:val="Hyperlink"/>
        </w:rPr>
        <w:instrText xml:space="preserve"> PAGEREF _Toc256000002 \h </w:instrText>
      </w:r>
      <w:r>
        <w:fldChar w:fldCharType="separate"/>
      </w:r>
      <w:r>
        <w:rPr>
          <w:rStyle w:val="Hyperlink"/>
        </w:rPr>
        <w:t>3</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"_Toc256000003" </w:instrText>
      </w:r>
      <w:r>
        <w:fldChar w:fldCharType="separate"/>
      </w:r>
      <w:r w:rsidRPr="00A642F9">
        <w:rPr>
          <w:rStyle w:val="Hyperlink"/>
          <w:rFonts w:hint="eastAsia"/>
          <w:shd w:val="clear" w:color="auto" w:fill="FFFFFF"/>
        </w:rPr>
        <w:t>2.1 理财产品基本情况</w:t>
      </w:r>
      <w:r>
        <w:rPr>
          <w:rStyle w:val="Hyperlink"/>
        </w:rPr>
        <w:tab/>
      </w:r>
      <w:r>
        <w:fldChar w:fldCharType="begin"/>
      </w:r>
      <w:r>
        <w:rPr>
          <w:rStyle w:val="Hyperlink"/>
        </w:rPr>
        <w:instrText xml:space="preserve"> PAGEREF _Toc256000003 \h </w:instrText>
      </w:r>
      <w:r>
        <w:fldChar w:fldCharType="separate"/>
      </w:r>
      <w:r>
        <w:rPr>
          <w:rStyle w:val="Hyperlink"/>
        </w:rPr>
        <w:t>3</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"_Toc256000004" </w:instrText>
      </w:r>
      <w:r>
        <w:fldChar w:fldCharType="separate"/>
      </w:r>
      <w:r w:rsidRPr="00A642F9">
        <w:rPr>
          <w:rStyle w:val="Hyperlink"/>
          <w:rFonts w:ascii="宋体" w:hAnsi="宋体" w:hint="eastAsia"/>
          <w:shd w:val="clear" w:color="auto" w:fill="FFFFFF"/>
        </w:rPr>
        <w:t>§3 理财产品净值表现</w:t>
      </w:r>
      <w:r>
        <w:rPr>
          <w:rStyle w:val="Hyperlink"/>
        </w:rPr>
        <w:tab/>
      </w:r>
      <w:r>
        <w:fldChar w:fldCharType="begin"/>
      </w:r>
      <w:r>
        <w:rPr>
          <w:rStyle w:val="Hyperlink"/>
        </w:rPr>
        <w:instrText xml:space="preserve"> PAGEREF _Toc256000004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"_Toc256000005" </w:instrText>
      </w:r>
      <w:r>
        <w:fldChar w:fldCharType="separate"/>
      </w:r>
      <w:r w:rsidRPr="00A642F9">
        <w:rPr>
          <w:rStyle w:val="Hyperlink"/>
          <w:rFonts w:hint="eastAsia"/>
          <w:shd w:val="clear" w:color="auto" w:fill="FFFFFF"/>
        </w:rPr>
        <w:t>3.1 截至报告期末产品资产净值及份额净值</w:t>
      </w:r>
      <w:r>
        <w:rPr>
          <w:rStyle w:val="Hyperlink"/>
        </w:rPr>
        <w:tab/>
      </w:r>
      <w:r>
        <w:fldChar w:fldCharType="begin"/>
      </w:r>
      <w:r>
        <w:rPr>
          <w:rStyle w:val="Hyperlink"/>
        </w:rPr>
        <w:instrText xml:space="preserve"> PAGEREF _Toc256000005 \h </w:instrText>
      </w:r>
      <w:r>
        <w:fldChar w:fldCharType="separate"/>
      </w:r>
      <w:r>
        <w:rPr>
          <w:rStyle w:val="Hyperlink"/>
        </w:rPr>
        <w:t>4</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"_Toc256000006" </w:instrText>
      </w:r>
      <w:r>
        <w:fldChar w:fldCharType="separate"/>
      </w:r>
      <w:r w:rsidRPr="00A642F9">
        <w:rPr>
          <w:rStyle w:val="Hyperlink"/>
          <w:rFonts w:hint="eastAsia"/>
          <w:shd w:val="clear" w:color="auto" w:fill="FFFFFF"/>
        </w:rPr>
        <w:t>3.2 理财产品年化收益率</w:t>
      </w:r>
      <w:r>
        <w:rPr>
          <w:rStyle w:val="Hyperlink"/>
        </w:rPr>
        <w:tab/>
      </w:r>
      <w:r>
        <w:fldChar w:fldCharType="begin"/>
      </w:r>
      <w:r>
        <w:rPr>
          <w:rStyle w:val="Hyperlink"/>
        </w:rPr>
        <w:instrText xml:space="preserve"> PAGEREF _Toc256000006 \h </w:instrText>
      </w:r>
      <w:r>
        <w:fldChar w:fldCharType="separate"/>
      </w:r>
      <w:r>
        <w:rPr>
          <w:rStyle w:val="Hyperlink"/>
        </w:rPr>
        <w:t>4</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"_Toc256000007" </w:instrText>
      </w:r>
      <w:r>
        <w:fldChar w:fldCharType="separate"/>
      </w:r>
      <w:r w:rsidRPr="00A642F9">
        <w:rPr>
          <w:rStyle w:val="Hyperlink"/>
          <w:rFonts w:ascii="宋体" w:hAnsi="宋体" w:hint="eastAsia"/>
          <w:shd w:val="clear" w:color="auto" w:fill="FFFFFF"/>
        </w:rPr>
        <w:t>§4 管理人报告</w:t>
      </w:r>
      <w:r>
        <w:rPr>
          <w:rStyle w:val="Hyperlink"/>
        </w:rPr>
        <w:tab/>
      </w:r>
      <w:r>
        <w:fldChar w:fldCharType="begin"/>
      </w:r>
      <w:r>
        <w:rPr>
          <w:rStyle w:val="Hyperlink"/>
        </w:rPr>
        <w:instrText xml:space="preserve"> PAGEREF _Toc256000007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"_Toc256000008" </w:instrText>
      </w:r>
      <w:r>
        <w:fldChar w:fldCharType="separate"/>
      </w:r>
      <w:r w:rsidRPr="00A642F9">
        <w:rPr>
          <w:rStyle w:val="Hyperlink"/>
          <w:rFonts w:hint="eastAsia"/>
          <w:shd w:val="clear" w:color="auto" w:fill="FFFFFF"/>
        </w:rPr>
        <w:t>4.1 管理人对报告期内理财产品的投资策略说明</w:t>
      </w:r>
      <w:r>
        <w:rPr>
          <w:rStyle w:val="Hyperlink"/>
        </w:rPr>
        <w:tab/>
      </w:r>
      <w:r>
        <w:fldChar w:fldCharType="begin"/>
      </w:r>
      <w:r>
        <w:rPr>
          <w:rStyle w:val="Hyperlink"/>
        </w:rPr>
        <w:instrText xml:space="preserve"> PAGEREF _Toc256000008 \h </w:instrText>
      </w:r>
      <w:r>
        <w:fldChar w:fldCharType="separate"/>
      </w:r>
      <w:r>
        <w:rPr>
          <w:rStyle w:val="Hyperlink"/>
        </w:rPr>
        <w:t>5</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"_Toc256000009" </w:instrText>
      </w:r>
      <w:r>
        <w:fldChar w:fldCharType="separate"/>
      </w:r>
      <w:r w:rsidRPr="0071237C">
        <w:rPr>
          <w:rStyle w:val="Hyperlink"/>
          <w:rFonts w:hint="eastAsia"/>
        </w:rPr>
        <w:t xml:space="preserve">4.2 </w:t>
      </w:r>
      <w:r w:rsidRPr="0071237C" w:rsidR="00364152">
        <w:rPr>
          <w:rStyle w:val="Hyperlink"/>
          <w:rFonts w:hint="eastAsia"/>
        </w:rPr>
        <w:t>理财产品报告期内关联</w:t>
      </w:r>
      <w:r w:rsidRPr="0071237C">
        <w:rPr>
          <w:rStyle w:val="Hyperlink"/>
          <w:rFonts w:hint="eastAsia"/>
        </w:rPr>
        <w:t>交易</w:t>
      </w:r>
      <w:r w:rsidRPr="0071237C" w:rsidR="005C0C96">
        <w:rPr>
          <w:rStyle w:val="Hyperlink"/>
          <w:rFonts w:hint="eastAsia"/>
        </w:rPr>
        <w:t>发生</w:t>
      </w:r>
      <w:r w:rsidRPr="0071237C">
        <w:rPr>
          <w:rStyle w:val="Hyperlink"/>
          <w:rFonts w:hint="eastAsia"/>
        </w:rPr>
        <w:t>情况</w:t>
      </w:r>
      <w:r>
        <w:rPr>
          <w:rStyle w:val="Hyperlink"/>
        </w:rPr>
        <w:tab/>
      </w:r>
      <w:r>
        <w:fldChar w:fldCharType="begin"/>
      </w:r>
      <w:r>
        <w:rPr>
          <w:rStyle w:val="Hyperlink"/>
        </w:rPr>
        <w:instrText xml:space="preserve"> PAGEREF _Toc256000009 \h </w:instrText>
      </w:r>
      <w:r>
        <w:fldChar w:fldCharType="separate"/>
      </w:r>
      <w:r>
        <w:rPr>
          <w:rStyle w:val="Hyperlink"/>
        </w:rPr>
        <w:t>6</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"_Toc256000010" </w:instrText>
      </w:r>
      <w:r>
        <w:fldChar w:fldCharType="separate"/>
      </w:r>
      <w:r w:rsidRPr="0071237C">
        <w:rPr>
          <w:rStyle w:val="Hyperlink"/>
          <w:rFonts w:ascii="宋体" w:hAnsi="宋体" w:hint="eastAsia"/>
          <w:shd w:val="clear" w:color="auto" w:fill="FFFFFF"/>
        </w:rPr>
        <w:t>§</w:t>
      </w:r>
      <w:r w:rsidRPr="0071237C" w:rsidR="00B21928">
        <w:rPr>
          <w:rStyle w:val="Hyperlink"/>
          <w:rFonts w:ascii="宋体" w:hAnsi="宋体"/>
          <w:shd w:val="clear" w:color="auto" w:fill="FFFFFF"/>
        </w:rPr>
        <w:t>5</w:t>
      </w:r>
      <w:r w:rsidRPr="0071237C">
        <w:rPr>
          <w:rStyle w:val="Hyperlink"/>
          <w:rFonts w:ascii="宋体" w:hAnsi="宋体" w:hint="eastAsia"/>
          <w:shd w:val="clear" w:color="auto" w:fill="FFFFFF"/>
        </w:rPr>
        <w:t xml:space="preserve"> 投资组合报告</w:t>
      </w:r>
      <w:r>
        <w:rPr>
          <w:rStyle w:val="Hyperlink"/>
        </w:rPr>
        <w:tab/>
      </w:r>
      <w:r>
        <w:fldChar w:fldCharType="begin"/>
      </w:r>
      <w:r>
        <w:rPr>
          <w:rStyle w:val="Hyperlink"/>
        </w:rPr>
        <w:instrText xml:space="preserve"> PAGEREF _Toc256000010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"_Toc256000011" </w:instrText>
      </w:r>
      <w:r>
        <w:fldChar w:fldCharType="separate"/>
      </w:r>
      <w:r w:rsidRPr="0071237C">
        <w:rPr>
          <w:rStyle w:val="Hyperlink"/>
          <w:shd w:val="clear" w:color="auto" w:fill="FFFFFF"/>
        </w:rPr>
        <w:t>5</w:t>
      </w:r>
      <w:r w:rsidRPr="0071237C">
        <w:rPr>
          <w:rStyle w:val="Hyperlink"/>
          <w:rFonts w:hint="eastAsia"/>
          <w:shd w:val="clear" w:color="auto" w:fill="FFFFFF"/>
        </w:rPr>
        <w:t>.1 期末理财产品资产组合情况</w:t>
      </w:r>
      <w:r>
        <w:rPr>
          <w:rStyle w:val="Hyperlink"/>
        </w:rPr>
        <w:tab/>
      </w:r>
      <w:r>
        <w:fldChar w:fldCharType="begin"/>
      </w:r>
      <w:r>
        <w:rPr>
          <w:rStyle w:val="Hyperlink"/>
        </w:rPr>
        <w:instrText xml:space="preserve"> PAGEREF _Toc256000011 \h </w:instrText>
      </w:r>
      <w:r>
        <w:fldChar w:fldCharType="separate"/>
      </w:r>
      <w:r>
        <w:rPr>
          <w:rStyle w:val="Hyperlink"/>
        </w:rPr>
        <w:t>7</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"_Toc256000012" </w:instrText>
      </w:r>
      <w:r>
        <w:fldChar w:fldCharType="separate"/>
      </w:r>
      <w:r>
        <w:rPr>
          <w:rStyle w:val="Hyperlink"/>
          <w:shd w:val="clear" w:color="auto" w:fill="FFFFFF"/>
        </w:rPr>
        <w:t>5.2 期末投资组合前十项资产</w:t>
      </w:r>
      <w:r>
        <w:rPr>
          <w:rStyle w:val="Hyperlink"/>
        </w:rPr>
        <w:tab/>
      </w:r>
      <w:r>
        <w:fldChar w:fldCharType="begin"/>
      </w:r>
      <w:r>
        <w:rPr>
          <w:rStyle w:val="Hyperlink"/>
        </w:rPr>
        <w:instrText xml:space="preserve"> PAGEREF _Toc256000012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"_Toc256000013" </w:instrText>
      </w:r>
      <w:r>
        <w:fldChar w:fldCharType="separate"/>
      </w:r>
      <w:r w:rsidRPr="0071237C">
        <w:rPr>
          <w:rStyle w:val="Hyperlink"/>
          <w:shd w:val="clear" w:color="auto" w:fill="FFFFFF"/>
        </w:rPr>
        <w:t>5</w:t>
      </w:r>
      <w:r w:rsidRPr="0071237C">
        <w:rPr>
          <w:rStyle w:val="Hyperlink"/>
          <w:rFonts w:hint="eastAsia"/>
          <w:shd w:val="clear" w:color="auto" w:fill="FFFFFF"/>
        </w:rPr>
        <w:t>.3 报告期末非标准化债权类资产信息</w:t>
      </w:r>
      <w:r>
        <w:rPr>
          <w:rStyle w:val="Hyperlink"/>
        </w:rPr>
        <w:tab/>
      </w:r>
      <w:r>
        <w:fldChar w:fldCharType="begin"/>
      </w:r>
      <w:r>
        <w:rPr>
          <w:rStyle w:val="Hyperlink"/>
        </w:rPr>
        <w:instrText xml:space="preserve"> PAGEREF _Toc256000013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"_Toc256000014"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4</w:t>
      </w:r>
      <w:r w:rsidRPr="0071237C">
        <w:rPr>
          <w:rStyle w:val="Hyperlink"/>
          <w:rFonts w:hint="eastAsia"/>
          <w:shd w:val="clear" w:color="auto" w:fill="FFFFFF"/>
        </w:rPr>
        <w:t xml:space="preserve"> 报告期</w:t>
      </w:r>
      <w:r w:rsidRPr="0071237C">
        <w:rPr>
          <w:rStyle w:val="Hyperlink"/>
          <w:shd w:val="clear" w:color="auto" w:fill="FFFFFF"/>
        </w:rPr>
        <w:t>内</w:t>
      </w:r>
      <w:r w:rsidRPr="0071237C">
        <w:rPr>
          <w:rStyle w:val="Hyperlink"/>
          <w:rFonts w:hint="eastAsia"/>
          <w:shd w:val="clear" w:color="auto" w:fill="FFFFFF"/>
        </w:rPr>
        <w:t>到期</w:t>
      </w:r>
      <w:r w:rsidRPr="0071237C">
        <w:rPr>
          <w:rStyle w:val="Hyperlink"/>
          <w:shd w:val="clear" w:color="auto" w:fill="FFFFFF"/>
        </w:rPr>
        <w:t>的</w:t>
      </w:r>
      <w:r w:rsidRPr="0071237C">
        <w:rPr>
          <w:rStyle w:val="Hyperlink"/>
          <w:rFonts w:hint="eastAsia"/>
          <w:shd w:val="clear" w:color="auto" w:fill="FFFFFF"/>
        </w:rPr>
        <w:t>非标准化</w:t>
      </w:r>
      <w:r w:rsidRPr="0071237C">
        <w:rPr>
          <w:rStyle w:val="Hyperlink"/>
          <w:shd w:val="clear" w:color="auto" w:fill="FFFFFF"/>
        </w:rPr>
        <w:t>债权类资产及收益情况</w:t>
      </w:r>
      <w:r>
        <w:rPr>
          <w:rStyle w:val="Hyperlink"/>
        </w:rPr>
        <w:tab/>
      </w:r>
      <w:r>
        <w:fldChar w:fldCharType="begin"/>
      </w:r>
      <w:r>
        <w:rPr>
          <w:rStyle w:val="Hyperlink"/>
        </w:rPr>
        <w:instrText xml:space="preserve"> PAGEREF _Toc256000014 \h </w:instrText>
      </w:r>
      <w:r>
        <w:fldChar w:fldCharType="separate"/>
      </w:r>
      <w:r>
        <w:rPr>
          <w:rStyle w:val="Hyperlink"/>
        </w:rPr>
        <w:t>8</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"_Toc256000015" </w:instrText>
      </w:r>
      <w:r>
        <w:fldChar w:fldCharType="separate"/>
      </w:r>
      <w:r w:rsidRPr="0071237C">
        <w:rPr>
          <w:rStyle w:val="Hyperlink"/>
          <w:shd w:val="clear" w:color="auto" w:fill="FFFFFF"/>
        </w:rPr>
        <w:t>5</w:t>
      </w:r>
      <w:r w:rsidRPr="0071237C">
        <w:rPr>
          <w:rStyle w:val="Hyperlink"/>
          <w:rFonts w:hint="eastAsia"/>
          <w:shd w:val="clear" w:color="auto" w:fill="FFFFFF"/>
        </w:rPr>
        <w:t>.</w:t>
      </w:r>
      <w:r w:rsidRPr="0071237C">
        <w:rPr>
          <w:rStyle w:val="Hyperlink"/>
          <w:shd w:val="clear" w:color="auto" w:fill="FFFFFF"/>
        </w:rPr>
        <w:t>5</w:t>
      </w:r>
      <w:r w:rsidRPr="0071237C">
        <w:rPr>
          <w:rStyle w:val="Hyperlink"/>
          <w:rFonts w:hint="eastAsia"/>
          <w:shd w:val="clear" w:color="auto" w:fill="FFFFFF"/>
        </w:rPr>
        <w:t xml:space="preserve"> 报告期末信贷资产收受益权资产信息</w:t>
      </w:r>
      <w:r>
        <w:rPr>
          <w:rStyle w:val="Hyperlink"/>
        </w:rPr>
        <w:tab/>
      </w:r>
      <w:r>
        <w:fldChar w:fldCharType="begin"/>
      </w:r>
      <w:r>
        <w:rPr>
          <w:rStyle w:val="Hyperlink"/>
        </w:rPr>
        <w:instrText xml:space="preserve"> PAGEREF _Toc256000015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"_Toc256000016" </w:instrText>
      </w:r>
      <w:r>
        <w:fldChar w:fldCharType="separate"/>
      </w:r>
      <w:r w:rsidRPr="00BB25DC">
        <w:rPr>
          <w:rStyle w:val="Hyperlink"/>
          <w:shd w:val="clear" w:color="auto" w:fill="FFFFFF"/>
        </w:rPr>
        <w:t>5</w:t>
      </w:r>
      <w:r w:rsidRPr="00BB25DC">
        <w:rPr>
          <w:rStyle w:val="Hyperlink"/>
          <w:rFonts w:hint="eastAsia"/>
          <w:shd w:val="clear" w:color="auto" w:fill="FFFFFF"/>
        </w:rPr>
        <w:t>.</w:t>
      </w:r>
      <w:r w:rsidRPr="00BB25DC">
        <w:rPr>
          <w:rStyle w:val="Hyperlink"/>
          <w:shd w:val="clear" w:color="auto" w:fill="FFFFFF"/>
        </w:rPr>
        <w:t>6</w:t>
      </w:r>
      <w:r w:rsidRPr="00BB25DC">
        <w:rPr>
          <w:rStyle w:val="Hyperlink"/>
          <w:rFonts w:hint="eastAsia"/>
          <w:shd w:val="clear" w:color="auto" w:fill="FFFFFF"/>
        </w:rPr>
        <w:t xml:space="preserve"> 报告</w:t>
      </w:r>
      <w:r w:rsidRPr="00BB25DC">
        <w:rPr>
          <w:rStyle w:val="Hyperlink"/>
          <w:shd w:val="clear" w:color="auto" w:fill="FFFFFF"/>
        </w:rPr>
        <w:t>期</w:t>
      </w:r>
      <w:r w:rsidRPr="00BB25DC">
        <w:rPr>
          <w:rStyle w:val="Hyperlink"/>
          <w:rFonts w:hint="eastAsia"/>
          <w:shd w:val="clear" w:color="auto" w:fill="FFFFFF"/>
        </w:rPr>
        <w:t>末商品及金融衍生</w:t>
      </w:r>
      <w:r w:rsidRPr="00BB25DC">
        <w:rPr>
          <w:rStyle w:val="Hyperlink"/>
          <w:rFonts w:hint="eastAsia"/>
          <w:shd w:val="clear" w:color="auto" w:fill="FFFFFF"/>
        </w:rPr>
        <w:t>品</w:t>
      </w:r>
      <w:r w:rsidRPr="00BB25DC">
        <w:rPr>
          <w:rStyle w:val="Hyperlink"/>
          <w:shd w:val="clear" w:color="auto" w:fill="FFFFFF"/>
        </w:rPr>
        <w:t>资产</w:t>
      </w:r>
      <w:r w:rsidRPr="00BB25DC">
        <w:rPr>
          <w:rStyle w:val="Hyperlink"/>
          <w:rFonts w:hint="eastAsia"/>
          <w:shd w:val="clear" w:color="auto" w:fill="FFFFFF"/>
        </w:rPr>
        <w:t>信息</w:t>
      </w:r>
      <w:r>
        <w:rPr>
          <w:rStyle w:val="Hyperlink"/>
        </w:rPr>
        <w:tab/>
      </w:r>
      <w:r>
        <w:fldChar w:fldCharType="begin"/>
      </w:r>
      <w:r>
        <w:rPr>
          <w:rStyle w:val="Hyperlink"/>
        </w:rPr>
        <w:instrText xml:space="preserve"> PAGEREF _Toc256000016 \h </w:instrText>
      </w:r>
      <w:r>
        <w:fldChar w:fldCharType="separate"/>
      </w:r>
      <w:r>
        <w:rPr>
          <w:rStyle w:val="Hyperlink"/>
        </w:rPr>
        <w:t>9</w:t>
      </w:r>
      <w:r>
        <w:fldChar w:fldCharType="end"/>
      </w:r>
      <w:r>
        <w:fldChar w:fldCharType="end"/>
      </w:r>
    </w:p>
    <w:p>
      <w:pPr>
        <w:pStyle w:val="TOC1"/>
        <w:tabs>
          <w:tab w:val="right" w:leader="dot" w:pos="9060"/>
        </w:tabs>
        <w:rPr>
          <w:rFonts w:asciiTheme="minorHAnsi" w:hAnsiTheme="minorHAnsi"/>
          <w:noProof/>
          <w:sz w:val="22"/>
        </w:rPr>
      </w:pPr>
      <w:r>
        <w:fldChar w:fldCharType="begin"/>
      </w:r>
      <w:r>
        <w:rPr>
          <w:rStyle w:val="Hyperlink"/>
        </w:rPr>
        <w:instrText xml:space="preserve"> HYPERLINK \l "_Toc256000017" </w:instrText>
      </w:r>
      <w:r>
        <w:fldChar w:fldCharType="separate"/>
      </w:r>
      <w:r w:rsidRPr="009A2C14">
        <w:rPr>
          <w:rStyle w:val="Hyperlink"/>
          <w:rFonts w:ascii="宋体" w:hAnsi="宋体" w:hint="eastAsia"/>
          <w:shd w:val="clear" w:color="auto" w:fill="FFFFFF"/>
        </w:rPr>
        <w:t>§</w:t>
      </w:r>
      <w:r w:rsidRPr="009A2C14">
        <w:rPr>
          <w:rStyle w:val="Hyperlink"/>
          <w:rFonts w:ascii="宋体" w:hAnsi="宋体"/>
          <w:shd w:val="clear" w:color="auto" w:fill="FFFFFF"/>
        </w:rPr>
        <w:t>6</w:t>
      </w:r>
      <w:r w:rsidRPr="009A2C14">
        <w:rPr>
          <w:rStyle w:val="Hyperlink"/>
          <w:rFonts w:ascii="宋体" w:hAnsi="宋体" w:hint="eastAsia"/>
          <w:shd w:val="clear" w:color="auto" w:fill="FFFFFF"/>
        </w:rPr>
        <w:t xml:space="preserve"> 托管人报告</w:t>
      </w:r>
      <w:r>
        <w:rPr>
          <w:rStyle w:val="Hyperlink"/>
        </w:rPr>
        <w:tab/>
      </w:r>
      <w:r>
        <w:fldChar w:fldCharType="begin"/>
      </w:r>
      <w:r>
        <w:rPr>
          <w:rStyle w:val="Hyperlink"/>
        </w:rPr>
        <w:instrText xml:space="preserve"> PAGEREF _Toc256000017 \h </w:instrText>
      </w:r>
      <w:r>
        <w:fldChar w:fldCharType="separate"/>
      </w:r>
      <w:r>
        <w:rPr>
          <w:rStyle w:val="Hyperlink"/>
        </w:rPr>
        <w:t>9</w:t>
      </w:r>
      <w:r>
        <w:fldChar w:fldCharType="end"/>
      </w:r>
      <w:r>
        <w:fldChar w:fldCharType="end"/>
      </w:r>
    </w:p>
    <w:p>
      <w:pPr>
        <w:pStyle w:val="TOC2"/>
        <w:tabs>
          <w:tab w:val="right" w:leader="dot" w:pos="9060"/>
        </w:tabs>
        <w:rPr>
          <w:rFonts w:asciiTheme="minorHAnsi" w:hAnsiTheme="minorHAnsi"/>
          <w:noProof/>
          <w:sz w:val="22"/>
        </w:rPr>
      </w:pPr>
      <w:r>
        <w:fldChar w:fldCharType="begin"/>
      </w:r>
      <w:r>
        <w:rPr>
          <w:rStyle w:val="Hyperlink"/>
        </w:rPr>
        <w:instrText xml:space="preserve"> HYPERLINK \l "_Toc256000018" </w:instrText>
      </w:r>
      <w:r>
        <w:fldChar w:fldCharType="separate"/>
      </w:r>
      <w:r w:rsidRPr="009A2C14">
        <w:rPr>
          <w:rStyle w:val="Hyperlink"/>
          <w:shd w:val="clear" w:color="auto" w:fill="FFFFFF"/>
        </w:rPr>
        <w:t>6</w:t>
      </w:r>
      <w:r w:rsidRPr="009A2C14">
        <w:rPr>
          <w:rStyle w:val="Hyperlink"/>
          <w:rFonts w:hint="eastAsia"/>
          <w:shd w:val="clear" w:color="auto" w:fill="FFFFFF"/>
        </w:rPr>
        <w:t>.1 托管人报告</w:t>
      </w:r>
      <w:r>
        <w:rPr>
          <w:rStyle w:val="Hyperlink"/>
        </w:rPr>
        <w:tab/>
      </w:r>
      <w:r>
        <w:fldChar w:fldCharType="begin"/>
      </w:r>
      <w:r>
        <w:rPr>
          <w:rStyle w:val="Hyperlink"/>
        </w:rPr>
        <w:instrText xml:space="preserve"> PAGEREF _Toc256000018 \h </w:instrText>
      </w:r>
      <w:r>
        <w:fldChar w:fldCharType="separate"/>
      </w:r>
      <w:r>
        <w:rPr>
          <w:rStyle w:val="Hyperlink"/>
        </w:rPr>
        <w:t>9</w:t>
      </w:r>
      <w:r>
        <w:fldChar w:fldCharType="end"/>
      </w:r>
      <w:r>
        <w:fldChar w:fldCharType="end"/>
      </w:r>
    </w:p>
    <w:p w:rsidP="00120F3B">
      <w:r>
        <w:fldChar w:fldCharType="end"/>
      </w:r>
    </w:p>
    <w:p w:rsidR="00120F3B" w:rsidP="00E50D4A">
      <w:pPr>
        <w:widowControl/>
        <w:jc w:val="left"/>
        <w:rPr>
          <w:shd w:val="clear" w:color="auto" w:fill="FFFFFF"/>
        </w:rPr>
      </w:pPr>
      <w:r>
        <w:rPr>
          <w:shd w:val="clear" w:color="auto" w:fill="FFFFFF"/>
        </w:rPr>
        <w:br w:type="page"/>
      </w:r>
    </w:p>
    <w:p w:rsidR="00380479" w:rsidRPr="00A642F9" w:rsidP="00F57231">
      <w:pPr>
        <w:pStyle w:val="Heading1"/>
        <w:spacing w:line="360" w:lineRule="auto"/>
        <w:jc w:val="center"/>
        <w:rPr>
          <w:rFonts w:ascii="宋体" w:hAnsi="宋体"/>
          <w:sz w:val="24"/>
          <w:szCs w:val="24"/>
          <w:shd w:val="clear" w:color="auto" w:fill="FFFFFF"/>
        </w:rPr>
      </w:pPr>
      <w:bookmarkStart w:id="0" w:name="_Toc256000000"/>
      <w:r w:rsidRPr="00A642F9">
        <w:rPr>
          <w:rFonts w:ascii="宋体" w:hAnsi="宋体" w:hint="eastAsia"/>
          <w:sz w:val="24"/>
          <w:szCs w:val="24"/>
          <w:shd w:val="clear" w:color="auto" w:fill="FFFFFF"/>
        </w:rPr>
        <w:t>§1 重要提示</w:t>
      </w:r>
      <w:bookmarkEnd w:id="0"/>
    </w:p>
    <w:p w:rsidR="00380479" w:rsidRPr="00A642F9" w:rsidP="00A642F9">
      <w:pPr>
        <w:pStyle w:val="Heading2"/>
        <w:rPr>
          <w:sz w:val="24"/>
          <w:szCs w:val="24"/>
          <w:shd w:val="clear" w:color="auto" w:fill="FFFFFF"/>
        </w:rPr>
      </w:pPr>
      <w:bookmarkStart w:id="1" w:name="_Toc256000001"/>
      <w:r w:rsidRPr="00A642F9">
        <w:rPr>
          <w:rFonts w:hint="eastAsia"/>
          <w:sz w:val="24"/>
          <w:szCs w:val="24"/>
          <w:shd w:val="clear" w:color="auto" w:fill="FFFFFF"/>
        </w:rPr>
        <w:t>1.1 重要提示</w:t>
      </w:r>
      <w:bookmarkEnd w:id="1"/>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tblPrEx>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Ex>
        <w:trPr>
          <w:trHeight w:val="610"/>
        </w:trPr>
        <w:tc>
          <w:tcPr>
            <w:tcW w:w="8522" w:type="dxa"/>
          </w:tcPr>
          <w:p w:rsidR="00164716" w:rsidRPr="004C7F8B" w:rsidP="00164716">
            <w:pPr>
              <w:numPr>
                <w:ilvl w:val="0"/>
                <w:numId w:val="4"/>
              </w:numPr>
              <w:jc w:val="left"/>
              <w:rPr>
                <w:rFonts w:ascii="仿宋" w:eastAsia="仿宋" w:hAnsi="仿宋"/>
                <w:shd w:val="clear" w:color="auto" w:fill="FFFFFF"/>
              </w:rPr>
            </w:pPr>
            <w:r w:rsidRPr="004C7F8B">
              <w:rPr>
                <w:rFonts w:ascii="仿宋" w:eastAsia="仿宋" w:hAnsi="仿宋" w:hint="eastAsia"/>
                <w:shd w:val="clear" w:color="auto" w:fill="FFFFFF"/>
              </w:rPr>
              <w:t>本报告适用于</w:t>
            </w:r>
            <w:r>
              <w:rPr>
                <w:rFonts w:ascii="仿宋" w:eastAsia="仿宋" w:hAnsi="仿宋" w:cs="仿宋"/>
                <w:b w:val="0"/>
                <w:i w:val="0"/>
                <w:color w:val="000000"/>
                <w:position w:val="-1"/>
                <w:u w:val="none"/>
              </w:rPr>
              <w:t>招银理财招睿活钱管家（添金）2号固定收益类理财计划</w:t>
            </w:r>
            <w:r w:rsidRPr="004C7F8B">
              <w:rPr>
                <w:rFonts w:ascii="仿宋" w:eastAsia="仿宋" w:hAnsi="仿宋" w:hint="eastAsia"/>
                <w:shd w:val="clear" w:color="auto" w:fill="FFFFFF"/>
              </w:rPr>
              <w:t>。</w:t>
            </w:r>
            <w:r w:rsidR="0038608E">
              <w:rPr>
                <w:rFonts w:ascii="仿宋" w:eastAsia="仿宋" w:hAnsi="仿宋" w:hint="eastAsia"/>
                <w:shd w:val="clear" w:color="auto" w:fill="FFFFFF"/>
              </w:rPr>
              <w:t>理财</w:t>
            </w:r>
            <w:r w:rsidRPr="004C7F8B">
              <w:rPr>
                <w:rFonts w:ascii="仿宋" w:eastAsia="仿宋" w:hAnsi="仿宋" w:hint="eastAsia"/>
                <w:shd w:val="clear" w:color="auto" w:fill="FFFFFF"/>
              </w:rPr>
              <w:t>产品</w:t>
            </w:r>
            <w:r w:rsidRPr="004C7F8B">
              <w:rPr>
                <w:rFonts w:ascii="仿宋" w:eastAsia="仿宋" w:hAnsi="仿宋"/>
                <w:shd w:val="clear" w:color="auto" w:fill="FFFFFF"/>
              </w:rPr>
              <w:t>管理人</w:t>
            </w:r>
            <w:r w:rsidRPr="004C7F8B">
              <w:rPr>
                <w:rFonts w:ascii="仿宋" w:eastAsia="仿宋" w:hAnsi="仿宋" w:hint="eastAsia"/>
                <w:shd w:val="clear" w:color="auto" w:fill="FFFFFF"/>
              </w:rPr>
              <w:t>保证</w:t>
            </w:r>
            <w:r w:rsidRPr="004C7F8B">
              <w:rPr>
                <w:rFonts w:ascii="仿宋" w:eastAsia="仿宋" w:hAnsi="仿宋"/>
                <w:shd w:val="clear" w:color="auto" w:fill="FFFFFF"/>
              </w:rPr>
              <w:t>本报告所载资料不存在虚假记载、误导性陈述或重大遗漏。</w:t>
            </w:r>
          </w:p>
          <w:p w:rsidR="007A593C" w:rsidP="00164716">
            <w:pPr>
              <w:numPr>
                <w:ilvl w:val="0"/>
                <w:numId w:val="4"/>
              </w:numPr>
              <w:jc w:val="left"/>
              <w:rPr>
                <w:rFonts w:ascii="仿宋" w:eastAsia="仿宋" w:hAnsi="仿宋"/>
                <w:shd w:val="clear" w:color="auto" w:fill="FFFFFF"/>
              </w:rPr>
            </w:pPr>
            <w:r w:rsidRPr="004C7F8B">
              <w:rPr>
                <w:rFonts w:ascii="仿宋" w:eastAsia="仿宋" w:hAnsi="仿宋"/>
                <w:shd w:val="clear" w:color="auto" w:fill="FFFFFF"/>
              </w:rPr>
              <w:t>理财产品管理人承诺以诚实信用、勤勉尽责的原则管理和运用理财产品资产，但不保证理财产品</w:t>
            </w:r>
            <w:r w:rsidR="00330673">
              <w:rPr>
                <w:rFonts w:ascii="仿宋" w:eastAsia="仿宋" w:hAnsi="仿宋" w:hint="eastAsia"/>
                <w:shd w:val="clear" w:color="auto" w:fill="FFFFFF"/>
              </w:rPr>
              <w:t>本金和收益</w:t>
            </w:r>
            <w:r w:rsidRPr="004C7F8B">
              <w:rPr>
                <w:rFonts w:ascii="仿宋" w:eastAsia="仿宋" w:hAnsi="仿宋"/>
                <w:shd w:val="clear" w:color="auto" w:fill="FFFFFF"/>
              </w:rPr>
              <w:t>。</w:t>
            </w:r>
          </w:p>
          <w:p w:rsidR="00491CFA" w:rsidRPr="00491CFA" w:rsidP="00491CFA">
            <w:pPr>
              <w:numPr>
                <w:ilvl w:val="0"/>
                <w:numId w:val="4"/>
              </w:numPr>
              <w:rPr>
                <w:rFonts w:ascii="仿宋" w:eastAsia="仿宋" w:hAnsi="仿宋"/>
                <w:shd w:val="clear" w:color="auto" w:fill="FFFFFF"/>
              </w:rPr>
            </w:pPr>
            <w:r w:rsidRPr="00491CFA">
              <w:rPr>
                <w:rFonts w:ascii="仿宋" w:eastAsia="仿宋" w:hAnsi="仿宋"/>
                <w:shd w:val="clear" w:color="auto" w:fill="FFFFFF"/>
              </w:rPr>
              <w:t>本产品为净值型产品，业绩表现将随市场波动，具有不确定性</w:t>
            </w:r>
            <w:r w:rsidRPr="00491CFA">
              <w:rPr>
                <w:rFonts w:ascii="仿宋" w:eastAsia="仿宋" w:hAnsi="仿宋" w:hint="eastAsia"/>
                <w:shd w:val="clear" w:color="auto" w:fill="FFFFFF"/>
              </w:rPr>
              <w:t>，</w:t>
            </w:r>
            <w:r w:rsidRPr="00EF0D0E">
              <w:rPr>
                <w:rFonts w:ascii="仿宋" w:eastAsia="仿宋" w:hAnsi="仿宋"/>
                <w:b/>
                <w:bCs/>
                <w:shd w:val="clear" w:color="auto" w:fill="FFFFFF"/>
              </w:rPr>
              <w:t>理财产品过往业绩并不代表其未来表现，不等于理财产品实际收益。</w:t>
            </w:r>
            <w:r w:rsidRPr="00491CFA">
              <w:rPr>
                <w:rFonts w:ascii="仿宋" w:eastAsia="仿宋" w:hAnsi="仿宋" w:hint="eastAsia"/>
                <w:b/>
                <w:shd w:val="clear" w:color="auto" w:fill="FFFFFF"/>
              </w:rPr>
              <w:t>理财非存款、产品有风险、投资须谨慎</w:t>
            </w:r>
            <w:r w:rsidRPr="00491CFA">
              <w:rPr>
                <w:rFonts w:ascii="仿宋" w:eastAsia="仿宋" w:hAnsi="仿宋"/>
                <w:shd w:val="clear" w:color="auto" w:fill="FFFFFF"/>
              </w:rPr>
              <w:t>，投资者在作出投资决策前应仔细阅读本理财产品的</w:t>
            </w:r>
            <w:r w:rsidRPr="00491CFA">
              <w:rPr>
                <w:rFonts w:ascii="仿宋" w:eastAsia="仿宋" w:hAnsi="仿宋" w:hint="eastAsia"/>
                <w:shd w:val="clear" w:color="auto" w:fill="FFFFFF"/>
              </w:rPr>
              <w:t>销售文件</w:t>
            </w:r>
            <w:r w:rsidRPr="00491CFA">
              <w:rPr>
                <w:rFonts w:ascii="仿宋" w:eastAsia="仿宋" w:hAnsi="仿宋"/>
                <w:shd w:val="clear" w:color="auto" w:fill="FFFFFF"/>
              </w:rPr>
              <w:t>。</w:t>
            </w:r>
          </w:p>
          <w:p w:rsidR="00491CFA" w:rsidRPr="00B6408A" w:rsidP="00B6408A">
            <w:pPr>
              <w:jc w:val="left"/>
              <w:rPr>
                <w:rFonts w:ascii="仿宋" w:eastAsia="仿宋" w:hAnsi="仿宋"/>
                <w:shd w:val="clear" w:color="auto" w:fill="FFFFFF"/>
              </w:rPr>
            </w:pPr>
            <w:r>
              <w:rPr>
                <w:rFonts w:ascii="仿宋" w:eastAsia="仿宋" w:hAnsi="仿宋" w:cs="仿宋"/>
                <w:b w:val="0"/>
                <w:i w:val="0"/>
                <w:color w:val="000000"/>
                <w:position w:val="-1"/>
                <w:u w:val="none"/>
              </w:rPr>
              <w:t>4、 本报告披露的资产净值及份额净值经过德勤华永会计师事务所(特殊普通合伙)审计确认。</w:t>
            </w:r>
            <w:r>
              <w:br/>
            </w:r>
            <w:r>
              <w:rPr>
                <w:rFonts w:ascii="仿宋" w:eastAsia="仿宋" w:hAnsi="仿宋" w:cs="仿宋"/>
                <w:b w:val="0"/>
                <w:i w:val="0"/>
                <w:color w:val="000000"/>
                <w:position w:val="-1"/>
                <w:u w:val="none"/>
              </w:rPr>
              <w:t>5、 本报告期自2024年01月01日起至2024年12月31日止。</w:t>
            </w:r>
          </w:p>
          <w:p w:rsidR="0033503F" w:rsidRPr="0033503F" w:rsidP="00AA0D69">
            <w:pPr>
              <w:jc w:val="left"/>
              <w:rPr>
                <w:rFonts w:ascii="仿宋" w:eastAsia="仿宋" w:hAnsi="仿宋"/>
                <w:shd w:val="clear" w:color="auto" w:fill="FFFFFF"/>
              </w:rPr>
            </w:pPr>
            <w:r>
              <w:rPr>
                <w:rFonts w:ascii="仿宋" w:eastAsia="仿宋" w:hAnsi="仿宋" w:cs="仿宋"/>
                <w:b w:val="0"/>
                <w:i w:val="0"/>
                <w:color w:val="000000"/>
                <w:position w:val="-1"/>
                <w:u w:val="none"/>
              </w:rPr>
              <w:t>注：除非本报告另有说明，本报告内的“元”均指“人民币元”。</w:t>
            </w:r>
          </w:p>
        </w:tc>
      </w:tr>
    </w:tbl>
    <w:p w:rsidR="00380479" w:rsidRPr="00A642F9" w:rsidP="00F57231">
      <w:pPr>
        <w:pStyle w:val="Heading1"/>
        <w:spacing w:line="360" w:lineRule="auto"/>
        <w:jc w:val="center"/>
        <w:rPr>
          <w:rFonts w:ascii="宋体" w:hAnsi="宋体"/>
          <w:sz w:val="24"/>
          <w:szCs w:val="24"/>
          <w:shd w:val="clear" w:color="auto" w:fill="FFFFFF"/>
        </w:rPr>
      </w:pPr>
      <w:bookmarkStart w:id="2" w:name="_Toc256000002"/>
      <w:r w:rsidRPr="00A642F9">
        <w:rPr>
          <w:rFonts w:ascii="宋体" w:hAnsi="宋体" w:hint="eastAsia"/>
          <w:sz w:val="24"/>
          <w:szCs w:val="24"/>
          <w:shd w:val="clear" w:color="auto" w:fill="FFFFFF"/>
        </w:rPr>
        <w:t>§2 理财产品简介</w:t>
      </w:r>
      <w:bookmarkEnd w:id="2"/>
    </w:p>
    <w:p w:rsidR="00380479" w:rsidRPr="00A642F9" w:rsidP="00A642F9">
      <w:pPr>
        <w:pStyle w:val="Heading2"/>
        <w:rPr>
          <w:sz w:val="24"/>
          <w:szCs w:val="24"/>
          <w:shd w:val="clear" w:color="auto" w:fill="FFFFFF"/>
        </w:rPr>
      </w:pPr>
      <w:bookmarkStart w:id="3" w:name="_Toc256000003"/>
      <w:r w:rsidRPr="00A642F9">
        <w:rPr>
          <w:rFonts w:hint="eastAsia"/>
          <w:sz w:val="24"/>
          <w:szCs w:val="24"/>
          <w:shd w:val="clear" w:color="auto" w:fill="FFFFFF"/>
        </w:rPr>
        <w:t>2.1 理财产品基本情况</w:t>
      </w:r>
      <w:bookmarkEnd w:id="3"/>
    </w:p>
    <w:tbl>
      <w:tblPr>
        <w:tblpPr w:leftFromText="180" w:rightFromText="180" w:vertAnchor="text" w:horzAnchor="margin" w:tblpY="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68"/>
        <w:gridCol w:w="6092"/>
      </w:tblGrid>
      <w:tr w:rsidTr="00905872">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sidR="00536C4E">
              <w:rPr>
                <w:rFonts w:ascii="宋体" w:hAnsi="宋体" w:hint="eastAsia"/>
                <w:szCs w:val="21"/>
                <w:shd w:val="clear" w:color="auto" w:fill="FFFFFF"/>
              </w:rPr>
              <w:t>产品</w:t>
            </w:r>
            <w:r>
              <w:rPr>
                <w:rFonts w:ascii="宋体" w:hAnsi="宋体" w:hint="eastAsia"/>
                <w:szCs w:val="21"/>
                <w:shd w:val="clear" w:color="auto" w:fill="FFFFFF"/>
              </w:rPr>
              <w:t>代码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100903</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名</w:t>
            </w:r>
            <w:r w:rsidRPr="004C7F8B">
              <w:rPr>
                <w:rFonts w:ascii="宋体" w:hAnsi="宋体" w:hint="eastAsia"/>
                <w:szCs w:val="21"/>
                <w:shd w:val="clear" w:color="auto" w:fill="FFFFFF"/>
              </w:rPr>
              <w:t>称</w:t>
            </w:r>
          </w:p>
        </w:tc>
        <w:tc>
          <w:tcPr>
            <w:tcW w:w="3362" w:type="pct"/>
            <w:shd w:val="clear" w:color="auto" w:fill="auto"/>
          </w:tcPr>
          <w:p w:rsidR="008D77ED" w:rsidRPr="004C7F8B" w:rsidP="00090C9E">
            <w:pPr>
              <w:rPr>
                <w:rFonts w:ascii="宋体" w:hAnsi="宋体"/>
                <w:color w:val="FF0000"/>
                <w:kern w:val="0"/>
                <w:szCs w:val="21"/>
                <w:shd w:val="clear" w:color="auto" w:fill="FFFFFF"/>
              </w:rPr>
            </w:pPr>
            <w:r>
              <w:rPr>
                <w:rFonts w:ascii="宋体" w:eastAsia="宋体" w:hAnsi="宋体" w:cs="宋体"/>
                <w:b w:val="0"/>
                <w:i w:val="0"/>
                <w:color w:val="000000"/>
                <w:position w:val="-1"/>
                <w:u w:val="none"/>
              </w:rPr>
              <w:t>招银理财招睿活钱管家（添金）2号固定收益类理财计划</w:t>
            </w:r>
          </w:p>
        </w:tc>
      </w:tr>
      <w:tr w:rsidTr="00905872">
        <w:tblPrEx>
          <w:tblW w:w="5000" w:type="pct"/>
          <w:tblLook w:val="0000"/>
        </w:tblPrEx>
        <w:trPr>
          <w:trHeight w:val="259"/>
        </w:trPr>
        <w:tc>
          <w:tcPr>
            <w:tcW w:w="1638" w:type="pct"/>
            <w:shd w:val="clear" w:color="auto" w:fill="auto"/>
            <w:vAlign w:val="center"/>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w:t>
            </w:r>
            <w:r>
              <w:rPr>
                <w:rFonts w:ascii="宋体" w:hAnsi="宋体" w:hint="eastAsia"/>
                <w:szCs w:val="21"/>
                <w:shd w:val="clear" w:color="auto" w:fill="FFFFFF"/>
              </w:rPr>
              <w:t>登记编码</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Z7001622000252</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w:t>
            </w:r>
            <w:r w:rsidRPr="004C7F8B">
              <w:rPr>
                <w:rFonts w:ascii="宋体" w:hAnsi="宋体"/>
                <w:szCs w:val="21"/>
                <w:shd w:val="clear" w:color="auto" w:fill="FFFFFF"/>
              </w:rPr>
              <w:t>投资</w:t>
            </w:r>
            <w:r w:rsidRPr="004C7F8B">
              <w:rPr>
                <w:rFonts w:ascii="宋体" w:hAnsi="宋体" w:hint="eastAsia"/>
                <w:szCs w:val="21"/>
                <w:shd w:val="clear" w:color="auto" w:fill="FFFFFF"/>
              </w:rPr>
              <w:t>类型</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固定收益类产品</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产品募集</w:t>
            </w:r>
            <w:r w:rsidRPr="004C7F8B">
              <w:rPr>
                <w:rFonts w:ascii="宋体" w:hAnsi="宋体"/>
                <w:szCs w:val="21"/>
                <w:shd w:val="clear" w:color="auto" w:fill="FFFFFF"/>
              </w:rPr>
              <w:t>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公募</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szCs w:val="21"/>
                <w:shd w:val="clear" w:color="auto" w:fill="FFFFFF"/>
              </w:rPr>
              <w:t>理财产品运作方式</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开放式</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100903：业绩比较基准上限为2.95%，下限为1.95%;10903D：业绩比较基准上限为2.95%，下限为1.95%;10903GS：业绩比较基准上限为3.00%，下限为2.00%;10903HR：业绩比较基准上限为2.95%，下限为1.95%;10903NJ：业绩比较基准上限为2.90%，下限为1.90%;10903P：业绩比较基准上限为2.95%，下限为1.95%;10903TL：业绩比较基准上限为2.90%，下限为1.90%;10903V：业绩比较基准上限为2.95%，下限为1.95%;（本产品为净值型产品，业绩表现将随市场波动，具有不确定性。）</w:t>
            </w:r>
          </w:p>
        </w:tc>
      </w:tr>
      <w:tr w:rsidTr="00905872">
        <w:tblPrEx>
          <w:tblW w:w="5000" w:type="pct"/>
          <w:tblLook w:val="0000"/>
        </w:tblPrEx>
        <w:tc>
          <w:tcPr>
            <w:tcW w:w="1638" w:type="pct"/>
            <w:shd w:val="clear" w:color="auto" w:fill="auto"/>
          </w:tcPr>
          <w:p w:rsidR="008D77ED" w:rsidRPr="004C7F8B" w:rsidP="008A10D2">
            <w:pPr>
              <w:rPr>
                <w:rFonts w:ascii="宋体" w:hAnsi="宋体"/>
                <w:szCs w:val="21"/>
                <w:shd w:val="clear" w:color="auto" w:fill="FFFFFF"/>
              </w:rPr>
            </w:pPr>
            <w:r w:rsidRPr="004C7F8B">
              <w:rPr>
                <w:rFonts w:ascii="宋体" w:hAnsi="宋体" w:hint="eastAsia"/>
                <w:szCs w:val="21"/>
                <w:shd w:val="clear" w:color="auto" w:fill="FFFFFF"/>
              </w:rPr>
              <w:t>业绩</w:t>
            </w:r>
            <w:r w:rsidRPr="004C7F8B">
              <w:rPr>
                <w:rFonts w:ascii="宋体" w:hAnsi="宋体"/>
                <w:szCs w:val="21"/>
                <w:shd w:val="clear" w:color="auto" w:fill="FFFFFF"/>
              </w:rPr>
              <w:t>比较基准测算说明</w:t>
            </w:r>
            <w:r>
              <w:rPr>
                <w:rFonts w:ascii="宋体" w:hAnsi="宋体" w:hint="eastAsia"/>
                <w:szCs w:val="21"/>
                <w:shd w:val="clear" w:color="auto" w:fill="FFFFFF"/>
              </w:rPr>
              <w:t>（如有）</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以产品投资固定收益类资产不低于80%，根据当前市场环境下大类资产合意配置比例及大类资产收益情况，考虑杠杆和费率等因素，并结合产品投资策略，按照投资者持有份额满一年的情况进行测算，确定本理财产品业绩比较基准。</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sidRPr="004C7F8B">
              <w:rPr>
                <w:rFonts w:ascii="宋体" w:hAnsi="宋体" w:hint="eastAsia"/>
                <w:color w:val="000000"/>
                <w:szCs w:val="21"/>
                <w:shd w:val="clear" w:color="auto" w:fill="FFFFFF"/>
              </w:rPr>
              <w:t>产品风险</w:t>
            </w:r>
            <w:r w:rsidRPr="004C7F8B">
              <w:rPr>
                <w:rFonts w:ascii="宋体" w:hAnsi="宋体"/>
                <w:color w:val="000000"/>
                <w:szCs w:val="21"/>
                <w:shd w:val="clear" w:color="auto" w:fill="FFFFFF"/>
              </w:rPr>
              <w:t>评级</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PR2</w:t>
            </w:r>
          </w:p>
        </w:tc>
      </w:tr>
      <w:tr w:rsidTr="00905872">
        <w:tblPrEx>
          <w:tblW w:w="5000" w:type="pct"/>
          <w:tblLook w:val="0000"/>
        </w:tblPrEx>
        <w:tc>
          <w:tcPr>
            <w:tcW w:w="1638" w:type="pct"/>
            <w:shd w:val="clear" w:color="auto" w:fill="auto"/>
          </w:tcPr>
          <w:p w:rsidR="008D77ED" w:rsidRPr="004C7F8B" w:rsidP="00090C9E">
            <w:pPr>
              <w:rPr>
                <w:rFonts w:ascii="宋体" w:hAnsi="宋体"/>
                <w:color w:val="000000"/>
                <w:szCs w:val="21"/>
                <w:shd w:val="clear" w:color="auto" w:fill="FFFFFF"/>
              </w:rPr>
            </w:pPr>
            <w:r>
              <w:rPr>
                <w:rFonts w:ascii="宋体" w:hAnsi="宋体" w:hint="eastAsia"/>
                <w:color w:val="000000"/>
                <w:szCs w:val="21"/>
                <w:shd w:val="clear" w:color="auto" w:fill="FFFFFF"/>
              </w:rPr>
              <w:t>杠杆</w:t>
            </w:r>
            <w:r>
              <w:rPr>
                <w:rFonts w:ascii="宋体" w:hAnsi="宋体"/>
                <w:color w:val="000000"/>
                <w:szCs w:val="21"/>
                <w:shd w:val="clear" w:color="auto" w:fill="FFFFFF"/>
              </w:rPr>
              <w:t>水平</w:t>
            </w:r>
          </w:p>
        </w:tc>
        <w:tc>
          <w:tcPr>
            <w:tcW w:w="3362" w:type="pct"/>
            <w:shd w:val="clear" w:color="auto" w:fill="auto"/>
          </w:tcPr>
          <w:p w:rsidR="008D77ED" w:rsidRPr="004C7F8B" w:rsidP="00090C9E">
            <w:pPr>
              <w:rPr>
                <w:rFonts w:ascii="宋体" w:hAnsi="宋体"/>
                <w:kern w:val="0"/>
                <w:szCs w:val="21"/>
                <w:shd w:val="clear" w:color="auto" w:fill="FFFFFF"/>
              </w:rPr>
            </w:pPr>
            <w:r w:rsidRPr="001A7042">
              <w:rPr>
                <w:rFonts w:ascii="宋体" w:hAnsi="宋体"/>
                <w:kern w:val="0"/>
                <w:szCs w:val="21"/>
                <w:shd w:val="clear" w:color="auto" w:fill="FFFFFF"/>
              </w:rPr>
              <w:t>符合监管或产品协议要求</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报告</w:t>
            </w:r>
            <w:r>
              <w:rPr>
                <w:rFonts w:ascii="宋体" w:hAnsi="宋体" w:hint="eastAsia"/>
                <w:color w:val="000000"/>
                <w:szCs w:val="21"/>
                <w:shd w:val="clear" w:color="auto" w:fill="FFFFFF"/>
              </w:rPr>
              <w:t>期末理财产品份额总额</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4,226,284,331.61</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理财产品成立</w:t>
            </w:r>
            <w:r w:rsidRPr="004C7F8B">
              <w:rPr>
                <w:rFonts w:ascii="宋体" w:hAnsi="宋体" w:hint="eastAsia"/>
                <w:color w:val="000000"/>
                <w:szCs w:val="21"/>
                <w:shd w:val="clear" w:color="auto" w:fill="FFFFFF"/>
              </w:rPr>
              <w:t>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2022年07月22日</w:t>
            </w:r>
          </w:p>
        </w:tc>
      </w:tr>
      <w:tr w:rsidTr="00905872">
        <w:tblPrEx>
          <w:tblW w:w="5000" w:type="pct"/>
          <w:tblLook w:val="0000"/>
        </w:tblPrEx>
        <w:tc>
          <w:tcPr>
            <w:tcW w:w="1638" w:type="pct"/>
            <w:shd w:val="clear" w:color="auto" w:fill="auto"/>
          </w:tcPr>
          <w:p w:rsidR="008D77ED" w:rsidRPr="004C7F8B" w:rsidP="00090C9E">
            <w:pPr>
              <w:rPr>
                <w:rFonts w:ascii="宋体" w:hAnsi="宋体"/>
                <w:szCs w:val="21"/>
                <w:shd w:val="clear" w:color="auto" w:fill="FFFFFF"/>
              </w:rPr>
            </w:pPr>
            <w:r>
              <w:rPr>
                <w:rFonts w:ascii="宋体" w:hAnsi="宋体" w:hint="eastAsia"/>
                <w:color w:val="000000"/>
                <w:szCs w:val="21"/>
                <w:shd w:val="clear" w:color="auto" w:fill="FFFFFF"/>
              </w:rPr>
              <w:t>理财产品计划</w:t>
            </w:r>
            <w:r w:rsidRPr="004C7F8B">
              <w:rPr>
                <w:rFonts w:ascii="宋体" w:hAnsi="宋体" w:hint="eastAsia"/>
                <w:color w:val="000000"/>
                <w:szCs w:val="21"/>
                <w:shd w:val="clear" w:color="auto" w:fill="FFFFFF"/>
              </w:rPr>
              <w:t>到期日</w:t>
            </w:r>
          </w:p>
        </w:tc>
        <w:tc>
          <w:tcPr>
            <w:tcW w:w="3362" w:type="pct"/>
            <w:shd w:val="clear" w:color="auto" w:fill="auto"/>
          </w:tcPr>
          <w:p w:rsidR="008D77ED" w:rsidRPr="004C7F8B" w:rsidP="00090C9E">
            <w:pPr>
              <w:rPr>
                <w:rFonts w:ascii="宋体" w:hAnsi="宋体"/>
                <w:kern w:val="0"/>
                <w:szCs w:val="21"/>
                <w:shd w:val="clear" w:color="auto" w:fill="FFFFFF"/>
              </w:rPr>
            </w:pPr>
            <w:r>
              <w:rPr>
                <w:rFonts w:ascii="宋体" w:eastAsia="宋体" w:hAnsi="宋体" w:cs="宋体"/>
                <w:b w:val="0"/>
                <w:i w:val="0"/>
                <w:color w:val="000000"/>
                <w:position w:val="-1"/>
                <w:u w:val="none"/>
              </w:rPr>
              <w:t>2032年07月22日（如遇非交易日顺延至下一交易日，或在理财计划存续期内理财产品管理人根据本产品说明书约定事由宣布提前或延期终止本理财计划之日。）</w:t>
            </w:r>
          </w:p>
        </w:tc>
      </w:tr>
    </w:tbl>
    <w:p w:rsidR="008A10D2" w:rsidRPr="008A10D2" w:rsidP="008A10D2">
      <w:pPr>
        <w:rPr>
          <w:rFonts w:ascii="宋体" w:hAnsi="宋体"/>
          <w:szCs w:val="21"/>
          <w:shd w:val="clear" w:color="auto" w:fill="FFFFFF"/>
        </w:rPr>
      </w:pPr>
      <w:r>
        <w:rPr>
          <w:rFonts w:ascii="宋体" w:hAnsi="宋体" w:hint="eastAsia"/>
          <w:szCs w:val="21"/>
          <w:shd w:val="clear" w:color="auto" w:fill="FFFFFF"/>
        </w:rPr>
        <w:t>注：</w:t>
      </w:r>
      <w:r w:rsidRPr="008A10D2">
        <w:rPr>
          <w:rFonts w:ascii="宋体" w:hAnsi="宋体" w:hint="eastAsia"/>
          <w:szCs w:val="21"/>
          <w:shd w:val="clear" w:color="auto" w:fill="FFFFFF"/>
        </w:rPr>
        <w:t>业绩比较基准是本机构基于产品性质、投资策略、过往经验等因素对产品设定的投资目标，不代表产品的未来表现和实际收益，不构成对产品收益的承诺。投资者不应将业绩比较基准作为持有本理财计划份额到期的综合投资收益参考值。</w:t>
      </w:r>
    </w:p>
    <w:p w:rsidR="00380479" w:rsidRPr="00A642F9">
      <w:pPr>
        <w:pStyle w:val="Heading1"/>
        <w:jc w:val="center"/>
        <w:rPr>
          <w:rFonts w:ascii="宋体" w:hAnsi="宋体"/>
          <w:sz w:val="24"/>
          <w:szCs w:val="24"/>
          <w:shd w:val="clear" w:color="auto" w:fill="FFFFFF"/>
        </w:rPr>
      </w:pPr>
      <w:bookmarkStart w:id="4" w:name="_Toc256000004"/>
      <w:r w:rsidRPr="00A642F9">
        <w:rPr>
          <w:rFonts w:ascii="宋体" w:hAnsi="宋体" w:hint="eastAsia"/>
          <w:sz w:val="24"/>
          <w:szCs w:val="24"/>
          <w:shd w:val="clear" w:color="auto" w:fill="FFFFFF"/>
        </w:rPr>
        <w:t>§3 理财产品净值表现</w:t>
      </w:r>
      <w:bookmarkEnd w:id="4"/>
    </w:p>
    <w:p w:rsidR="00380479" w:rsidRPr="00A642F9" w:rsidP="003F7FB0">
      <w:pPr>
        <w:pStyle w:val="Heading2"/>
        <w:rPr>
          <w:sz w:val="24"/>
          <w:szCs w:val="24"/>
          <w:shd w:val="clear" w:color="auto" w:fill="FFFFFF"/>
        </w:rPr>
      </w:pPr>
      <w:bookmarkStart w:id="5" w:name="_Toc256000005"/>
      <w:r w:rsidRPr="00A642F9">
        <w:rPr>
          <w:rFonts w:hint="eastAsia"/>
          <w:sz w:val="24"/>
          <w:szCs w:val="24"/>
          <w:shd w:val="clear" w:color="auto" w:fill="FFFFFF"/>
        </w:rPr>
        <w:t>3.1 截至报告期末产品资产净值及份额净值</w:t>
      </w:r>
      <w:bookmarkEnd w:id="5"/>
    </w:p>
    <w:p w:rsidR="00055790" w:rsidP="00BF5002">
      <w:pPr>
        <w:adjustRightInd w:val="0"/>
        <w:snapToGrid w:val="0"/>
        <w:ind w:firstLine="420" w:firstLineChars="200"/>
        <w:rPr>
          <w:rFonts w:ascii="宋体" w:hAnsi="宋体"/>
          <w:sz w:val="24"/>
          <w:szCs w:val="24"/>
        </w:rPr>
      </w:pPr>
      <w:r w:rsidRPr="00D53094">
        <w:rPr>
          <w:rFonts w:ascii="宋体" w:hAnsi="宋体" w:hint="eastAsia"/>
          <w:sz w:val="24"/>
          <w:szCs w:val="24"/>
          <w:shd w:val="clear" w:color="auto" w:fill="FFFFFF"/>
        </w:rPr>
        <w:t>截至本报告期末，产品的资产净值为</w:t>
      </w:r>
      <w:r>
        <w:rPr>
          <w:rFonts w:ascii="宋体" w:eastAsia="宋体" w:hAnsi="宋体" w:cs="宋体"/>
          <w:b w:val="0"/>
          <w:i w:val="0"/>
          <w:color w:val="000000"/>
          <w:position w:val="-1"/>
          <w:sz w:val="24"/>
          <w:u w:val="none"/>
        </w:rPr>
        <w:t>4,489,512,345.96</w:t>
      </w:r>
      <w:r>
        <w:rPr>
          <w:rFonts w:ascii="宋体" w:eastAsia="宋体" w:hAnsi="宋体" w:cs="宋体"/>
          <w:b w:val="0"/>
          <w:i w:val="0"/>
          <w:color w:val="000000"/>
          <w:position w:val="-1"/>
          <w:sz w:val="24"/>
          <w:u w:val="none"/>
        </w:rPr>
        <w:t>元</w:t>
      </w:r>
      <w:r>
        <w:rPr>
          <w:rFonts w:ascii="宋体" w:eastAsia="宋体" w:hAnsi="宋体" w:cs="宋体"/>
          <w:b w:val="0"/>
          <w:i w:val="0"/>
          <w:color w:val="000000"/>
          <w:position w:val="-1"/>
          <w:sz w:val="24"/>
          <w:u w:val="none"/>
        </w:rPr>
        <w:t>。其中，销售代码【100903】份额为2,547,797,428.64份，份额净值为1.0620元，份额累计净值为1.0620元；销售代码【10903GS】份额为1,225,336,994.00份，份额净值为1.0630元，份额累计净值为1.0630元；销售代码【10903HR】份额为218,984,166.38份，份额净值为1.0617元，份额累计净值为1.0617元；销售代码【10903NJ】份额为1,193,018.30份，份额净值为1.0618元，份额累计净值为1.0618元；销售代码【10903P】份额为33,093,670.59份，份额净值为1.0618元，份额累计净值为1.0618元；销售代码【10903V】份额为199,879,053.70份，份额净值为1.0620元，份额累计净值为1.0620元。</w:t>
      </w:r>
    </w:p>
    <w:p w:rsidR="008A10D2" w:rsidP="008A10D2">
      <w:pPr>
        <w:ind w:firstLine="420" w:firstLineChars="200"/>
        <w:rPr>
          <w:rFonts w:ascii="宋体" w:hAnsi="宋体"/>
          <w:szCs w:val="21"/>
          <w:shd w:val="clear" w:color="auto" w:fill="FFFFFF"/>
        </w:rPr>
      </w:pPr>
      <w:r w:rsidRPr="008A10D2">
        <w:rPr>
          <w:rFonts w:ascii="宋体" w:hAnsi="宋体" w:hint="eastAsia"/>
          <w:szCs w:val="21"/>
          <w:shd w:val="clear" w:color="auto" w:fill="FFFFFF"/>
        </w:rPr>
        <w:t>注：</w:t>
      </w:r>
    </w:p>
    <w:p w:rsidR="008A10D2" w:rsidRPr="008A10D2" w:rsidP="008A10D2">
      <w:pPr>
        <w:ind w:firstLine="420" w:firstLineChars="200"/>
        <w:rPr>
          <w:rFonts w:ascii="宋体" w:hAnsi="宋体"/>
          <w:szCs w:val="21"/>
          <w:shd w:val="clear" w:color="auto" w:fill="FFFFFF"/>
        </w:rPr>
      </w:pPr>
      <w:r>
        <w:rPr>
          <w:rFonts w:ascii="宋体" w:hAnsi="宋体"/>
          <w:szCs w:val="21"/>
          <w:shd w:val="clear" w:color="auto" w:fill="FFFFFF"/>
        </w:rPr>
        <w:t>1</w:t>
      </w:r>
      <w:r>
        <w:rPr>
          <w:rFonts w:ascii="宋体" w:hAnsi="宋体" w:hint="eastAsia"/>
          <w:szCs w:val="21"/>
          <w:shd w:val="clear" w:color="auto" w:fill="FFFFFF"/>
        </w:rPr>
        <w:t>.</w:t>
      </w:r>
      <w:r w:rsidRPr="008A10D2">
        <w:rPr>
          <w:rFonts w:ascii="宋体" w:hAnsi="宋体"/>
          <w:szCs w:val="21"/>
          <w:shd w:val="clear" w:color="auto" w:fill="FFFFFF"/>
        </w:rPr>
        <w:t>份额净值=资产净值/份额总额；份额累计净值=份额净值+产品成立后份额的累计分红金额。</w:t>
      </w:r>
    </w:p>
    <w:p w:rsidR="00491CFA" w:rsidRPr="00905D7C" w:rsidP="00905D7C">
      <w:pPr>
        <w:ind w:firstLine="420" w:firstLineChars="200"/>
        <w:rPr>
          <w:rFonts w:ascii="宋体" w:hAnsi="宋体"/>
          <w:szCs w:val="21"/>
          <w:shd w:val="clear" w:color="auto" w:fill="FFFFFF"/>
        </w:rPr>
      </w:pPr>
      <w:r>
        <w:rPr>
          <w:rFonts w:ascii="宋体" w:eastAsia="宋体" w:hAnsi="宋体" w:cs="宋体"/>
          <w:b w:val="0"/>
          <w:i w:val="0"/>
          <w:color w:val="000000"/>
          <w:position w:val="-1"/>
          <w:u w:val="none"/>
        </w:rPr>
        <w:t>2.根据产品说明书，因理财计划发行对象不同，会有不同的销售代码，不同销售代码可能存在理财计划销售服务费收费条件、收费标准和收费方式等的不同，以及因净值计算过程产生尾差等原因，均可能导致各份额单位净值、单位累计净值不完全一致。</w:t>
      </w:r>
    </w:p>
    <w:p w:rsidR="00380479" w:rsidRPr="00A642F9" w:rsidP="003F7FB0">
      <w:pPr>
        <w:pStyle w:val="Heading2"/>
        <w:rPr>
          <w:sz w:val="24"/>
          <w:szCs w:val="24"/>
          <w:shd w:val="clear" w:color="auto" w:fill="FFFFFF"/>
        </w:rPr>
      </w:pPr>
      <w:bookmarkStart w:id="6" w:name="_Toc256000006"/>
      <w:r w:rsidRPr="00A642F9">
        <w:rPr>
          <w:rFonts w:hint="eastAsia"/>
          <w:sz w:val="24"/>
          <w:szCs w:val="24"/>
          <w:shd w:val="clear" w:color="auto" w:fill="FFFFFF"/>
        </w:rPr>
        <w:t>3.2 理财产品年化收益率</w:t>
      </w:r>
      <w:bookmarkEnd w:id="6"/>
    </w:p>
    <w:tbl>
      <w:tblPr>
        <w:tblpPr w:leftFromText="180" w:rightFromText="180" w:vertAnchor="text" w:horzAnchor="margin" w:tblpXSpec="center" w:tblpY="270"/>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1"/>
        <w:gridCol w:w="992"/>
        <w:gridCol w:w="993"/>
        <w:gridCol w:w="850"/>
        <w:gridCol w:w="851"/>
        <w:gridCol w:w="992"/>
        <w:gridCol w:w="992"/>
        <w:gridCol w:w="992"/>
        <w:gridCol w:w="1134"/>
      </w:tblGrid>
      <w:tr w:rsidTr="00B45516">
        <w:tblPrEx>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841"/>
          <w:jc w:val="center"/>
        </w:trPr>
        <w:tc>
          <w:tcPr>
            <w:tcW w:w="1271"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sidRPr="00654677">
              <w:rPr>
                <w:rFonts w:ascii="宋体" w:hAnsi="宋体" w:cs="宋体" w:hint="eastAsia"/>
                <w:b/>
                <w:szCs w:val="21"/>
              </w:rPr>
              <w:t>阶段</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三个月</w:t>
            </w:r>
          </w:p>
        </w:tc>
        <w:tc>
          <w:tcPr>
            <w:tcW w:w="993"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w:t>
            </w:r>
            <w:r w:rsidRPr="00654677">
              <w:rPr>
                <w:rFonts w:ascii="宋体" w:hAnsi="宋体" w:cs="宋体" w:hint="eastAsia"/>
                <w:b/>
                <w:szCs w:val="21"/>
              </w:rPr>
              <w:t>六个月</w:t>
            </w:r>
          </w:p>
        </w:tc>
        <w:tc>
          <w:tcPr>
            <w:tcW w:w="850" w:type="dxa"/>
            <w:shd w:val="clear" w:color="auto" w:fill="BFBFBF"/>
            <w:vAlign w:val="center"/>
          </w:tcPr>
          <w:p w:rsidR="00436AFF" w:rsidRPr="00661791" w:rsidP="00436AFF">
            <w:pPr>
              <w:widowControl/>
              <w:jc w:val="center"/>
              <w:rPr>
                <w:rFonts w:ascii="宋体" w:hAnsi="宋体" w:cs="宋体"/>
                <w:b/>
                <w:szCs w:val="21"/>
              </w:rPr>
            </w:pPr>
            <w:r w:rsidRPr="00661791">
              <w:rPr>
                <w:rFonts w:ascii="宋体" w:hAnsi="宋体" w:cs="宋体" w:hint="eastAsia"/>
                <w:b/>
                <w:szCs w:val="21"/>
              </w:rPr>
              <w:t>近1个会计年度</w:t>
            </w:r>
          </w:p>
        </w:tc>
        <w:tc>
          <w:tcPr>
            <w:tcW w:w="851"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近2个会计年度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近3个会计年度</w:t>
            </w:r>
          </w:p>
        </w:tc>
        <w:tc>
          <w:tcPr>
            <w:tcW w:w="992" w:type="dxa"/>
            <w:shd w:val="clear" w:color="auto" w:fill="BFBFBF"/>
            <w:vAlign w:val="center"/>
          </w:tcPr>
          <w:p w:rsidR="00436AFF" w:rsidRPr="00654677" w:rsidP="00436AFF">
            <w:pPr>
              <w:widowControl/>
              <w:jc w:val="center"/>
              <w:rPr>
                <w:rFonts w:ascii="宋体" w:hAnsi="宋体" w:cs="宋体"/>
                <w:b/>
                <w:szCs w:val="21"/>
              </w:rPr>
            </w:pPr>
            <w:r>
              <w:rPr>
                <w:rFonts w:ascii="宋体" w:hAnsi="宋体" w:cs="宋体" w:hint="eastAsia"/>
                <w:b/>
                <w:szCs w:val="21"/>
              </w:rPr>
              <w:t>近4个会计年度</w:t>
            </w:r>
          </w:p>
        </w:tc>
        <w:tc>
          <w:tcPr>
            <w:tcW w:w="992"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近5个会计年度</w:t>
            </w:r>
          </w:p>
        </w:tc>
        <w:tc>
          <w:tcPr>
            <w:tcW w:w="1134" w:type="dxa"/>
            <w:shd w:val="clear" w:color="auto" w:fill="BFBFBF"/>
            <w:vAlign w:val="center"/>
          </w:tcPr>
          <w:p w:rsidR="00436AFF" w:rsidRPr="00654677" w:rsidP="00436AFF">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成立</w:t>
            </w:r>
            <w:r w:rsidRPr="00654677">
              <w:rPr>
                <w:rFonts w:ascii="宋体" w:hAnsi="宋体" w:cs="宋体" w:hint="eastAsia"/>
                <w:b/>
                <w:szCs w:val="21"/>
              </w:rPr>
              <w:t>至今</w:t>
            </w:r>
          </w:p>
        </w:tc>
      </w:tr>
      <w:tr w:rsidTr="00B45516">
        <w:tblPrEx>
          <w:tblW w:w="9067" w:type="dxa"/>
          <w:jc w:val="center"/>
          <w:tblLayout w:type="fixed"/>
          <w:tblLook w:val="0000"/>
        </w:tblPrEx>
        <w:trPr>
          <w:trHeight w:val="892"/>
          <w:jc w:val="center"/>
        </w:trPr>
        <w:tc>
          <w:tcPr>
            <w:tcW w:w="127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sidRPr="00712E2F">
              <w:rPr>
                <w:rFonts w:ascii="宋体" w:hAnsi="宋体" w:hint="eastAsia"/>
                <w:szCs w:val="21"/>
                <w:shd w:val="clear" w:color="auto" w:fill="FFFFFF"/>
              </w:rPr>
              <w:t>年化</w:t>
            </w:r>
            <w:r w:rsidRPr="00712E2F">
              <w:rPr>
                <w:rFonts w:ascii="宋体" w:hAnsi="宋体"/>
                <w:szCs w:val="21"/>
                <w:shd w:val="clear" w:color="auto" w:fill="FFFFFF"/>
              </w:rPr>
              <w:t>收益率</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2.37%</w:t>
            </w:r>
          </w:p>
        </w:tc>
        <w:tc>
          <w:tcPr>
            <w:tcW w:w="993"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2.32%</w:t>
            </w:r>
          </w:p>
        </w:tc>
        <w:tc>
          <w:tcPr>
            <w:tcW w:w="850"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2.38%</w:t>
            </w:r>
          </w:p>
        </w:tc>
        <w:tc>
          <w:tcPr>
            <w:tcW w:w="851"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2.72%</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992"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w:t>
            </w:r>
          </w:p>
        </w:tc>
        <w:tc>
          <w:tcPr>
            <w:tcW w:w="1134" w:type="dxa"/>
            <w:tcBorders>
              <w:top w:val="single" w:sz="4" w:space="0" w:color="auto"/>
              <w:left w:val="single" w:sz="4" w:space="0" w:color="auto"/>
              <w:bottom w:val="single" w:sz="4" w:space="0" w:color="auto"/>
              <w:right w:val="single" w:sz="4" w:space="0" w:color="auto"/>
            </w:tcBorders>
            <w:vAlign w:val="center"/>
          </w:tcPr>
          <w:p w:rsidR="00436AFF" w:rsidRPr="00712E2F" w:rsidP="00436AFF">
            <w:pPr>
              <w:snapToGrid w:val="0"/>
              <w:jc w:val="center"/>
              <w:rPr>
                <w:rFonts w:ascii="宋体" w:hAnsi="宋体"/>
                <w:szCs w:val="21"/>
                <w:shd w:val="clear" w:color="auto" w:fill="FFFFFF"/>
              </w:rPr>
            </w:pPr>
            <w:r>
              <w:rPr>
                <w:rFonts w:ascii="宋体" w:eastAsia="宋体" w:hAnsi="宋体" w:cs="宋体"/>
                <w:b w:val="0"/>
                <w:i w:val="0"/>
                <w:color w:val="000000"/>
                <w:position w:val="-1"/>
                <w:u w:val="none"/>
              </w:rPr>
              <w:t>2.55%</w:t>
            </w:r>
          </w:p>
        </w:tc>
      </w:tr>
    </w:tbl>
    <w:p w:rsidR="00436AFF" w:rsidP="00436AFF">
      <w:r>
        <w:rPr>
          <w:rFonts w:hint="eastAsia"/>
        </w:rPr>
        <w:t>注：</w:t>
      </w:r>
    </w:p>
    <w:p w:rsidR="00436AFF" w:rsidP="00436AFF">
      <w:pPr>
        <w:rPr>
          <w:rFonts w:ascii="宋体" w:hAnsi="宋体" w:cs="宋体"/>
        </w:rPr>
      </w:pPr>
      <w:r>
        <w:rPr>
          <w:rFonts w:ascii="宋体" w:hAnsi="宋体" w:cs="宋体" w:hint="eastAsia"/>
        </w:rPr>
        <w:t>1.本理财产品成立于</w:t>
      </w:r>
      <w:r>
        <w:rPr>
          <w:rFonts w:ascii="宋体" w:eastAsia="宋体" w:hAnsi="宋体" w:cs="宋体"/>
          <w:b w:val="0"/>
          <w:i w:val="0"/>
          <w:color w:val="000000"/>
          <w:position w:val="-1"/>
          <w:u w:val="none"/>
        </w:rPr>
        <w:t>2022年07月22日</w:t>
      </w:r>
      <w:r>
        <w:rPr>
          <w:rFonts w:ascii="宋体" w:hAnsi="宋体" w:cs="宋体" w:hint="eastAsia"/>
        </w:rPr>
        <w:t>，数据截至</w:t>
      </w:r>
      <w:r>
        <w:rPr>
          <w:rFonts w:ascii="宋体" w:eastAsia="宋体" w:hAnsi="宋体" w:cs="宋体"/>
          <w:b w:val="0"/>
          <w:i w:val="0"/>
          <w:color w:val="000000"/>
          <w:position w:val="-1"/>
          <w:u w:val="none"/>
        </w:rPr>
        <w:t>2024年12月31日</w:t>
      </w:r>
      <w:r>
        <w:rPr>
          <w:rFonts w:ascii="宋体" w:hAnsi="宋体" w:cs="宋体" w:hint="eastAsia"/>
        </w:rPr>
        <w:t>。本理财产品过往业绩由管理人招银理财有限责任公司基于理财产品净值，参照有关法律法规及理财行业通行规则制定的计算规则计算，过往业绩相关净值数据已经理财产品托管人复核。</w:t>
      </w:r>
      <w:r>
        <w:rPr>
          <w:rFonts w:ascii="宋体" w:hAnsi="宋体" w:cs="宋体" w:hint="eastAsia"/>
          <w:b/>
          <w:bCs/>
        </w:rPr>
        <w:t>理财产品过往业绩不代表其未来表现，不等于理财产品实际收益，投资须谨慎。</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2.如为报净值的产品，则年化收益率指该产品对应区间内的区间年化收益率，赎回成本未计入，并非最终持有到期的收益率。</w:t>
      </w:r>
    </w:p>
    <w:p w:rsidR="006F79C0" w:rsidP="006F79C0">
      <w:pPr>
        <w:rPr>
          <w:rFonts w:ascii="宋体" w:hAnsi="宋体" w:cs="宋体"/>
          <w:szCs w:val="21"/>
          <w:shd w:val="clear" w:color="auto" w:fill="FFFFFF"/>
        </w:rPr>
      </w:pPr>
      <w:r>
        <w:rPr>
          <w:rFonts w:ascii="宋体" w:hAnsi="宋体" w:cs="宋体" w:hint="eastAsia"/>
          <w:szCs w:val="21"/>
          <w:shd w:val="clear" w:color="auto" w:fill="FFFFFF"/>
        </w:rPr>
        <w:t>近N个月年化收益率（非现金产品）</w:t>
      </w:r>
    </w:p>
    <w:p w:rsidR="006F79C0" w:rsidP="006F79C0">
      <w:pPr>
        <w:rPr>
          <w:rFonts w:hAnsi="Cambria Math"/>
          <w:sz w:val="24"/>
        </w:rPr>
      </w:pPr>
      <w:r>
        <w:rPr>
          <w:rFonts w:ascii="宋体" w:hint="eastAsia"/>
          <w:sz w:val="24"/>
        </w:rPr>
        <w:t>=</w:t>
      </w:r>
      <m:oMath>
        <m:f>
          <m:fPr>
            <m:ctrlPr>
              <w:rPr>
                <w:rFonts w:ascii="Cambria Math" w:hAnsi="Cambria Math" w:hint="eastAsia"/>
                <w:sz w:val="24"/>
              </w:rPr>
            </m:ctrlPr>
          </m:fPr>
          <m:num>
            <m:sSub>
              <m:sSubPr>
                <m:ctrlPr>
                  <w:rPr>
                    <w:rFonts w:ascii="Cambria Math" w:hAnsi="Cambria Math"/>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t1</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月前对日的产品累计单位净值</m:t>
                </m:r>
              </m:e>
              <m:sub>
                <m:r>
                  <m:rPr>
                    <m:sty m:val="p"/>
                  </m:rPr>
                  <w:rPr>
                    <w:rFonts w:ascii="Cambria Math" w:hAnsi="Cambria Math"/>
                    <w:sz w:val="24"/>
                  </w:rPr>
                  <m:t>t2</m:t>
                </m:r>
              </m:sub>
            </m:sSub>
          </m:num>
          <m:den>
            <m:sSub>
              <m:sSubPr>
                <m:ctrlPr>
                  <w:rPr>
                    <w:rFonts w:ascii="Cambria Math" w:hAnsi="Cambria Math"/>
                    <w:sz w:val="24"/>
                  </w:rPr>
                </m:ctrlPr>
              </m:sSubPr>
              <m:e>
                <m:r>
                  <m:rPr>
                    <m:sty m:val="p"/>
                  </m:rPr>
                  <w:rPr>
                    <w:rFonts w:ascii="Cambria Math" w:hAnsi="Cambria Math"/>
                    <w:sz w:val="24"/>
                  </w:rPr>
                  <m:t>N</m:t>
                </m:r>
                <m:r>
                  <m:rPr>
                    <m:sty m:val="p"/>
                  </m:rPr>
                  <w:rPr>
                    <w:rFonts w:ascii="Cambria Math" w:hAnsi="Cambria Math" w:hint="eastAsia"/>
                    <w:sz w:val="24"/>
                  </w:rPr>
                  <m:t>月前对日的产品单位净值</m:t>
                </m:r>
              </m:e>
              <m:sub>
                <m:r>
                  <m:rPr>
                    <m:sty m:val="p"/>
                  </m:rPr>
                  <w:rPr>
                    <w:rFonts w:ascii="Cambria Math" w:hAnsi="Cambria Math"/>
                    <w:sz w:val="24"/>
                  </w:rPr>
                  <m:t>t2</m:t>
                </m:r>
              </m:sub>
            </m:sSub>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t1-t2</m:t>
            </m:r>
          </m:den>
        </m:f>
        <m:r>
          <m:rPr>
            <m:sty m:val="p"/>
          </m:rPr>
          <w:rPr>
            <w:rFonts w:ascii="Cambria Math" w:hAnsi="Cambria Math" w:cs="Cambria"/>
            <w:sz w:val="24"/>
          </w:rPr>
          <m:t>*</m:t>
        </m:r>
        <m:r>
          <m:rPr>
            <m:sty m:val="p"/>
          </m:rPr>
          <w:rPr>
            <w:rFonts w:ascii="Cambria Math" w:hAnsi="Cambria Math" w:hint="eastAsia"/>
            <w:sz w:val="24"/>
          </w:rPr>
          <m:t>100%</m:t>
        </m:r>
      </m:oMath>
    </w:p>
    <w:p w:rsidR="006F79C0" w:rsidP="006F79C0">
      <w:pPr>
        <w:rPr>
          <w:rFonts w:hAnsi="Cambria Math"/>
          <w:sz w:val="24"/>
        </w:rPr>
      </w:pPr>
      <w:r>
        <w:rPr>
          <w:rFonts w:ascii="宋体" w:hAnsi="宋体" w:cs="宋体" w:hint="eastAsia"/>
          <w:szCs w:val="21"/>
          <w:shd w:val="clear" w:color="auto" w:fill="FFFFFF"/>
        </w:rPr>
        <w:t>t1为区间最后一个自然日，t2为N月前的最后一个自然日。</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近N个会计年度年化收益率（非现金产品）</w:t>
      </w:r>
    </w:p>
    <w:p w:rsidR="006F79C0" w:rsidP="006F79C0">
      <w:pPr>
        <w:rPr>
          <w:sz w:val="24"/>
          <w:szCs w:val="24"/>
        </w:rPr>
      </w:pPr>
      <w:r>
        <w:rPr>
          <w:rFonts w:ascii="宋体" w:hint="eastAsia"/>
        </w:rPr>
        <w:t>=</w:t>
      </w:r>
      <m:oMath>
        <m:f>
          <m:fPr>
            <m:ctrlPr>
              <w:rPr>
                <w:rFonts w:ascii="Cambria Math" w:hAnsi="Cambria Math" w:hint="eastAsia"/>
                <w:sz w:val="24"/>
                <w:szCs w:val="24"/>
              </w:rPr>
            </m:ctrlPr>
          </m:fPr>
          <m:num>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12</m:t>
                </m:r>
                <m:r>
                  <m:rPr>
                    <m:sty m:val="p"/>
                  </m:rPr>
                  <w:rPr>
                    <w:rFonts w:ascii="Cambria Math" w:hAnsi="Cambria Math" w:hint="eastAsia"/>
                    <w:sz w:val="24"/>
                    <w:szCs w:val="24"/>
                  </w:rPr>
                  <m:t>月</m:t>
                </m:r>
                <m:r>
                  <m:rPr>
                    <m:sty m:val="p"/>
                  </m:rPr>
                  <w:rPr>
                    <w:rFonts w:ascii="Cambria Math" w:hAnsi="Cambria Math"/>
                    <w:sz w:val="24"/>
                    <w:szCs w:val="24"/>
                  </w:rPr>
                  <m:t>31</m:t>
                </m:r>
                <m:r>
                  <m:rPr>
                    <m:sty m:val="p"/>
                  </m:rPr>
                  <w:rPr>
                    <w:rFonts w:ascii="Cambria Math" w:hAnsi="Cambria Math" w:hint="eastAsia"/>
                    <w:sz w:val="24"/>
                    <w:szCs w:val="24"/>
                  </w:rPr>
                  <m:t>日产品累计单位净值</m:t>
                </m:r>
              </m:e>
              <m:sub>
                <m:r>
                  <m:rPr>
                    <m:sty m:val="p"/>
                  </m:rPr>
                  <w:rPr>
                    <w:rFonts w:ascii="Cambria Math" w:hAnsi="Cambria Math"/>
                    <w:sz w:val="24"/>
                    <w:szCs w:val="24"/>
                  </w:rPr>
                  <m:t>t1</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日产品累计单位净值</m:t>
                </m:r>
              </m:e>
              <m:sub>
                <m:r>
                  <m:rPr>
                    <m:sty m:val="p"/>
                  </m:rPr>
                  <w:rPr>
                    <w:rFonts w:ascii="Cambria Math" w:hAnsi="Cambria Math"/>
                    <w:sz w:val="24"/>
                    <w:szCs w:val="24"/>
                  </w:rPr>
                  <m:t>t2</m:t>
                </m:r>
              </m:sub>
            </m:sSub>
          </m:num>
          <m:den>
            <m:sSub>
              <m:sSubPr>
                <m:ctrlPr>
                  <w:rPr>
                    <w:rFonts w:ascii="Cambria Math" w:hAnsi="Cambria Math"/>
                    <w:sz w:val="24"/>
                    <w:szCs w:val="24"/>
                  </w:rPr>
                </m:ctrlPr>
              </m:sSubPr>
              <m:e>
                <m:r>
                  <m:rPr>
                    <m:sty m:val="p"/>
                  </m:rPr>
                  <w:rPr>
                    <w:rFonts w:ascii="Cambria Math" w:hAnsi="Cambria Math"/>
                    <w:sz w:val="24"/>
                    <w:szCs w:val="24"/>
                  </w:rPr>
                  <m:t>XX</m:t>
                </m:r>
                <m:r>
                  <m:rPr>
                    <m:sty m:val="p"/>
                  </m:rPr>
                  <w:rPr>
                    <w:rFonts w:ascii="Cambria Math" w:hAnsi="Cambria Math" w:hint="eastAsia"/>
                    <w:sz w:val="24"/>
                    <w:szCs w:val="24"/>
                  </w:rPr>
                  <m:t>年</m:t>
                </m:r>
                <m:r>
                  <m:rPr>
                    <m:sty m:val="p"/>
                  </m:rPr>
                  <w:rPr>
                    <w:rFonts w:ascii="Cambria Math" w:hAnsi="Cambria Math"/>
                    <w:sz w:val="24"/>
                    <w:szCs w:val="24"/>
                  </w:rPr>
                  <m:t>1</m:t>
                </m:r>
                <m:r>
                  <m:rPr>
                    <m:sty m:val="p"/>
                  </m:rPr>
                  <w:rPr>
                    <w:rFonts w:ascii="Cambria Math" w:hAnsi="Cambria Math" w:hint="eastAsia"/>
                    <w:sz w:val="24"/>
                    <w:szCs w:val="24"/>
                  </w:rPr>
                  <m:t>月</m:t>
                </m:r>
                <m:r>
                  <m:rPr>
                    <m:sty m:val="p"/>
                  </m:rPr>
                  <w:rPr>
                    <w:rFonts w:ascii="Cambria Math" w:hAnsi="Cambria Math"/>
                    <w:sz w:val="24"/>
                    <w:szCs w:val="24"/>
                  </w:rPr>
                  <m:t>1</m:t>
                </m:r>
                <m:r>
                  <m:rPr>
                    <m:sty m:val="p"/>
                  </m:rPr>
                  <w:rPr>
                    <w:rFonts w:ascii="Cambria Math" w:hAnsi="Cambria Math" w:hint="eastAsia"/>
                    <w:sz w:val="24"/>
                    <w:szCs w:val="24"/>
                  </w:rPr>
                  <m:t>日产品单位净值</m:t>
                </m:r>
              </m:e>
              <m:sub>
                <m:r>
                  <m:rPr>
                    <m:sty m:val="p"/>
                  </m:rPr>
                  <w:rPr>
                    <w:rFonts w:ascii="Cambria Math" w:hAnsi="Cambria Math"/>
                    <w:sz w:val="24"/>
                    <w:szCs w:val="24"/>
                  </w:rPr>
                  <m:t>t2</m:t>
                </m:r>
              </m:sub>
            </m:sSub>
          </m:den>
        </m:f>
        <m:r>
          <m:rPr>
            <m:sty m:val="p"/>
          </m:rPr>
          <w:rPr>
            <w:rFonts w:ascii="Cambria Math" w:hAnsi="Cambria Math" w:cs="Cambria"/>
            <w:sz w:val="24"/>
            <w:szCs w:val="24"/>
          </w:rPr>
          <m:t>*</m:t>
        </m:r>
        <m:f>
          <m:fPr>
            <m:ctrlPr>
              <w:rPr>
                <w:rFonts w:ascii="Cambria Math" w:hAnsi="Cambria Math" w:hint="eastAsia"/>
                <w:sz w:val="24"/>
                <w:szCs w:val="24"/>
              </w:rPr>
            </m:ctrlPr>
          </m:fPr>
          <m:num>
            <m:r>
              <m:rPr>
                <m:sty m:val="p"/>
              </m:rPr>
              <w:rPr>
                <w:rFonts w:ascii="Cambria Math" w:hAnsi="Cambria Math" w:hint="eastAsia"/>
                <w:sz w:val="24"/>
                <w:szCs w:val="24"/>
              </w:rPr>
              <m:t>365</m:t>
            </m:r>
          </m:num>
          <m:den>
            <m:r>
              <m:rPr>
                <m:sty m:val="p"/>
              </m:rPr>
              <w:rPr>
                <w:rFonts w:ascii="Cambria Math" w:hAnsi="Cambria Math"/>
                <w:sz w:val="24"/>
                <w:szCs w:val="24"/>
              </w:rPr>
              <m:t>N</m:t>
            </m:r>
          </m:den>
        </m:f>
        <m:r>
          <m:rPr>
            <m:sty m:val="p"/>
          </m:rPr>
          <w:rPr>
            <w:rFonts w:ascii="Cambria Math" w:hAnsi="Cambria Math" w:cs="Cambria"/>
            <w:sz w:val="24"/>
            <w:szCs w:val="24"/>
          </w:rPr>
          <m:t>*</m:t>
        </m:r>
        <m:r>
          <m:rPr>
            <m:sty m:val="p"/>
          </m:rPr>
          <w:rPr>
            <w:rFonts w:ascii="Cambria Math" w:hAnsi="Cambria Math" w:hint="eastAsia"/>
            <w:sz w:val="24"/>
            <w:szCs w:val="24"/>
          </w:rPr>
          <m:t>100%</m:t>
        </m:r>
      </m:oMath>
    </w:p>
    <w:p w:rsidR="006F79C0" w:rsidP="006F79C0">
      <w:pPr>
        <w:rPr>
          <w:rFonts w:ascii="宋体" w:hAnsi="宋体" w:cs="宋体"/>
          <w:szCs w:val="21"/>
          <w:shd w:val="clear" w:color="auto" w:fill="FFFFFF"/>
        </w:rPr>
      </w:pPr>
      <w:r>
        <w:rPr>
          <w:rFonts w:ascii="宋体" w:hAnsi="宋体" w:cs="宋体" w:hint="eastAsia"/>
          <w:szCs w:val="21"/>
          <w:shd w:val="clear" w:color="auto" w:fill="FFFFFF"/>
        </w:rPr>
        <w:t>t1为XX年12月31日，t2为XX年1月1日，N为XX年1月1日到XX年12月31日的自然天数。</w:t>
      </w:r>
    </w:p>
    <w:p w:rsidR="006F79C0" w:rsidP="006F79C0">
      <w:pPr>
        <w:pStyle w:val="ccb"/>
        <w:ind w:firstLine="0" w:firstLineChars="0"/>
        <w:jc w:val="left"/>
        <w:rPr>
          <w:rFonts w:ascii="宋体" w:eastAsia="宋体"/>
          <w:color w:val="auto"/>
          <w:sz w:val="21"/>
          <w:szCs w:val="21"/>
          <w:shd w:val="clear" w:color="auto" w:fill="FFFFFF"/>
        </w:rPr>
      </w:pPr>
      <w:r>
        <w:rPr>
          <w:rFonts w:ascii="宋体" w:eastAsia="宋体" w:hint="eastAsia"/>
          <w:color w:val="auto"/>
          <w:sz w:val="21"/>
          <w:szCs w:val="21"/>
          <w:shd w:val="clear" w:color="auto" w:fill="FFFFFF"/>
        </w:rPr>
        <w:t>成立至今年化收益率（非现金产品）</w:t>
      </w:r>
    </w:p>
    <w:p w:rsidR="006F79C0" w:rsidP="006F79C0">
      <w:pPr>
        <w:tabs>
          <w:tab w:val="left" w:pos="1260"/>
        </w:tabs>
        <w:spacing w:line="360" w:lineRule="auto"/>
        <w:rPr>
          <w:rFonts w:hAnsi="Cambria Math"/>
          <w:sz w:val="24"/>
        </w:rPr>
      </w:pPr>
      <w:r>
        <w:rPr>
          <w:rFonts w:ascii="宋体" w:hAnsi="宋体" w:hint="eastAsia"/>
          <w:sz w:val="24"/>
        </w:rPr>
        <w:t>=</w:t>
      </w:r>
      <m:oMath>
        <m:f>
          <m:fPr>
            <m:ctrlPr>
              <w:rPr>
                <w:rFonts w:ascii="Cambria Math" w:hAnsi="Cambria Math" w:hint="eastAsia"/>
                <w:sz w:val="24"/>
              </w:rPr>
            </m:ctrlPr>
          </m:fPr>
          <m:num>
            <m:sSub>
              <m:sSubPr>
                <m:ctrlPr>
                  <w:rPr>
                    <w:rFonts w:ascii="Cambria Math" w:hAnsi="Cambria Math" w:hint="eastAsia"/>
                    <w:sz w:val="24"/>
                  </w:rPr>
                </m:ctrlPr>
              </m:sSubPr>
              <m:e>
                <m:r>
                  <m:rPr>
                    <m:sty m:val="p"/>
                  </m:rPr>
                  <w:rPr>
                    <w:rFonts w:ascii="Cambria Math" w:hAnsi="Cambria Math" w:hint="eastAsia"/>
                    <w:sz w:val="24"/>
                  </w:rPr>
                  <m:t>最新的产品累计单位净值</m:t>
                </m:r>
              </m:e>
              <m:sub>
                <m:r>
                  <m:rPr>
                    <m:sty m:val="p"/>
                  </m:rPr>
                  <w:rPr>
                    <w:rFonts w:ascii="Cambria Math" w:hAnsi="Cambria Math"/>
                    <w:sz w:val="24"/>
                  </w:rPr>
                  <m:t>t</m:t>
                </m:r>
              </m:sub>
            </m:sSub>
            <m:r>
              <m:rPr>
                <m:sty m:val="p"/>
              </m:rPr>
              <w:rPr>
                <w:rFonts w:ascii="Cambria Math" w:hAnsi="Cambria Math"/>
                <w:sz w:val="24"/>
              </w:rPr>
              <m:t>-</m:t>
            </m:r>
            <m:r>
              <w:rPr>
                <w:rFonts w:ascii="Cambria Math" w:hAnsi="Cambria Math"/>
                <w:sz w:val="24"/>
              </w:rPr>
              <m:t>1</m:t>
            </m:r>
          </m:num>
          <m:den>
            <m:r>
              <m:rPr>
                <m:sty m:val="p"/>
              </m:rPr>
              <w:rPr>
                <w:rFonts w:ascii="Cambria Math" w:hAnsi="Cambria Math"/>
                <w:sz w:val="24"/>
              </w:rPr>
              <m:t>1</m:t>
            </m:r>
          </m:den>
        </m:f>
        <m:r>
          <m:rPr>
            <m:sty m:val="p"/>
          </m:rPr>
          <w:rPr>
            <w:rFonts w:ascii="Cambria Math" w:hAnsi="Cambria Math" w:cs="Cambria"/>
            <w:sz w:val="24"/>
          </w:rPr>
          <m:t>*</m:t>
        </m:r>
        <m:f>
          <m:fPr>
            <m:ctrlPr>
              <w:rPr>
                <w:rFonts w:ascii="Cambria Math" w:hAnsi="Cambria Math" w:hint="eastAsia"/>
                <w:sz w:val="24"/>
              </w:rPr>
            </m:ctrlPr>
          </m:fPr>
          <m:num>
            <m:r>
              <m:rPr>
                <m:sty m:val="p"/>
              </m:rPr>
              <w:rPr>
                <w:rFonts w:ascii="Cambria Math" w:hAnsi="Cambria Math" w:hint="eastAsia"/>
                <w:sz w:val="24"/>
              </w:rPr>
              <m:t>365</m:t>
            </m:r>
          </m:num>
          <m:den>
            <m:r>
              <m:rPr>
                <m:sty m:val="p"/>
              </m:rPr>
              <w:rPr>
                <w:rFonts w:ascii="Cambria Math" w:hAnsi="Cambria Math"/>
                <w:sz w:val="24"/>
              </w:rPr>
              <m:t>t-</m:t>
            </m:r>
            <m:r>
              <m:rPr>
                <m:sty m:val="p"/>
              </m:rPr>
              <w:rPr>
                <w:rFonts w:ascii="Cambria Math" w:hAnsi="Cambria Math" w:hint="eastAsia"/>
                <w:sz w:val="24"/>
              </w:rPr>
              <m:t>成立日期</m:t>
            </m:r>
          </m:den>
        </m:f>
        <m:r>
          <m:rPr>
            <m:sty m:val="p"/>
          </m:rPr>
          <w:rPr>
            <w:rFonts w:ascii="Cambria Math" w:hAnsi="Cambria Math" w:cs="Cambria"/>
            <w:sz w:val="24"/>
          </w:rPr>
          <m:t>*</m:t>
        </m:r>
        <m:r>
          <m:rPr>
            <m:sty m:val="p"/>
          </m:rPr>
          <w:rPr>
            <w:rFonts w:ascii="Cambria Math" w:hAnsi="Cambria Math" w:hint="eastAsia"/>
            <w:sz w:val="24"/>
          </w:rPr>
          <m:t>100%</m:t>
        </m:r>
      </m:oMath>
    </w:p>
    <w:p w:rsidR="00A919F3" w:rsidRPr="00567D1D" w:rsidP="006F79C0">
      <w:pPr>
        <w:rPr>
          <w:rFonts w:ascii="宋体" w:hAnsi="宋体"/>
          <w:szCs w:val="21"/>
          <w:shd w:val="clear" w:color="auto" w:fill="FFFFFF"/>
        </w:rPr>
      </w:pPr>
      <w:r>
        <w:rPr>
          <w:rFonts w:ascii="宋体" w:hAnsi="宋体" w:cs="宋体" w:hint="eastAsia"/>
          <w:szCs w:val="21"/>
          <w:shd w:val="clear" w:color="auto" w:fill="FFFFFF"/>
        </w:rPr>
        <w:t>t为区间最后一个自然日，理财产品成立日净值按照理财产品认购净值1.0000计算。</w:t>
      </w:r>
    </w:p>
    <w:p w:rsidR="00380479" w:rsidRPr="00A642F9">
      <w:pPr>
        <w:pStyle w:val="Heading1"/>
        <w:jc w:val="center"/>
        <w:rPr>
          <w:rFonts w:ascii="宋体" w:hAnsi="宋体"/>
          <w:sz w:val="24"/>
          <w:szCs w:val="24"/>
          <w:shd w:val="clear" w:color="auto" w:fill="FFFFFF"/>
        </w:rPr>
      </w:pPr>
      <w:bookmarkStart w:id="7" w:name="_Toc256000007"/>
      <w:r w:rsidRPr="00A642F9">
        <w:rPr>
          <w:rFonts w:ascii="宋体" w:hAnsi="宋体" w:hint="eastAsia"/>
          <w:sz w:val="24"/>
          <w:szCs w:val="24"/>
          <w:shd w:val="clear" w:color="auto" w:fill="FFFFFF"/>
        </w:rPr>
        <w:t>§4 管理人报告</w:t>
      </w:r>
      <w:bookmarkEnd w:id="7"/>
    </w:p>
    <w:p w:rsidR="00380479" w:rsidRPr="00A642F9" w:rsidP="003F7FB0">
      <w:pPr>
        <w:pStyle w:val="Heading2"/>
        <w:rPr>
          <w:sz w:val="24"/>
          <w:szCs w:val="24"/>
          <w:shd w:val="clear" w:color="auto" w:fill="FFFFFF"/>
        </w:rPr>
      </w:pPr>
      <w:bookmarkStart w:id="8" w:name="_Toc256000008"/>
      <w:r w:rsidRPr="00A642F9">
        <w:rPr>
          <w:rFonts w:hint="eastAsia"/>
          <w:sz w:val="24"/>
          <w:szCs w:val="24"/>
          <w:shd w:val="clear" w:color="auto" w:fill="FFFFFF"/>
        </w:rPr>
        <w:t>4.1 管理人对报告期内理财产品的投资策略说明</w:t>
      </w:r>
      <w:bookmarkEnd w:id="8"/>
    </w:p>
    <w:p w:rsidR="00F6717A" w:rsidRPr="00A642F9" w:rsidP="00F6717A">
      <w:pPr>
        <w:pStyle w:val="Heading3"/>
        <w:rPr>
          <w:sz w:val="24"/>
          <w:szCs w:val="24"/>
          <w:shd w:val="clear" w:color="auto" w:fill="FFFFFF"/>
        </w:rPr>
      </w:pPr>
      <w:r w:rsidRPr="00A642F9">
        <w:rPr>
          <w:rFonts w:hint="eastAsia"/>
          <w:sz w:val="24"/>
          <w:szCs w:val="24"/>
          <w:shd w:val="clear" w:color="auto" w:fill="FFFFFF"/>
        </w:rPr>
        <w:t>4.1.1 报告期内理财产品投资策略和运作分析</w:t>
      </w:r>
    </w:p>
    <w:p w:rsidR="002E5860" w:rsidP="0002334A">
      <w:pPr>
        <w:ind w:firstLine="420" w:firstLineChars="200"/>
        <w:rPr>
          <w:rFonts w:ascii="宋体" w:hAnsi="宋体"/>
          <w:sz w:val="24"/>
          <w:szCs w:val="24"/>
          <w:shd w:val="clear" w:color="auto" w:fill="FFFFFF"/>
        </w:rPr>
      </w:pPr>
      <w:bookmarkStart w:id="9" w:name="运作分析"/>
      <w:r>
        <w:rPr>
          <w:rFonts w:ascii="宋体" w:hAnsi="宋体"/>
          <w:sz w:val="24"/>
          <w:szCs w:val="24"/>
          <w:shd w:val="clear" w:color="auto" w:fill="FFFFFF"/>
        </w:rPr>
        <w:t>2024年全年债券市场收益率整体呈现下行态势。具体而言，开年以来经济基本面复苏弱于预期，政府债发行节奏偏缓，央行加大投放力度平抑资金波动，债市呈现资产荒格局，各品种及期限收益均快速下行。4月，为防止利率风险积累，央行多次提醒市场关注长债利率风险，叠加存款手工补息停止后银行负债端存款减少的摩擦影响，4月至5月债券收益率出现小幅震荡回调。三季度，央行7月、9月两次调降公开市场操作和MLF利率，市场重新快速下行。但9月末政治局会议超预期聚焦经济形势，市场风险偏好抬升，债券市场快速回调。11月至12月，降息预期持续发酵，存款自律机制出台，为市场短端打开想象空间，债市收益率重新快速下行。</w:t>
      </w:r>
    </w:p>
    <w:p w:rsidR="002E5860" w:rsidP="0002334A">
      <w:pPr>
        <w:ind w:firstLine="420" w:firstLineChars="200"/>
        <w:rPr>
          <w:rFonts w:ascii="宋体" w:hAnsi="宋体"/>
          <w:sz w:val="24"/>
          <w:szCs w:val="24"/>
          <w:shd w:val="clear" w:color="auto" w:fill="FFFFFF"/>
        </w:rPr>
      </w:pPr>
      <w:r>
        <w:rPr>
          <w:rFonts w:ascii="宋体" w:hAnsi="宋体"/>
          <w:sz w:val="24"/>
          <w:szCs w:val="24"/>
          <w:shd w:val="clear" w:color="auto" w:fill="FFFFFF"/>
        </w:rPr>
        <w:t>本产品为高频开放的短债类产品，报告期内维持稳健投资风格，着重控制流动性风险和信用风险，整体运作平稳。资产配置以存款、存单和高等级信用债为主，兼顾安全性和产品收益，同时根据宏观经济研判以及货币政策信号动态调整久期杠杆水平，在控制风险的前提下积极参与波段交易增厚收益。</w:t>
      </w:r>
      <w:bookmarkEnd w:id="9"/>
    </w:p>
    <w:p w:rsidR="00F6717A" w:rsidRPr="0002334A" w:rsidP="0002334A">
      <w:pPr>
        <w:ind w:firstLine="420" w:firstLineChars="200"/>
        <w:rPr>
          <w:rFonts w:ascii="宋体" w:hAnsi="宋体"/>
          <w:sz w:val="24"/>
          <w:szCs w:val="24"/>
          <w:shd w:val="clear" w:color="auto" w:fill="FFFFFF"/>
        </w:rPr>
      </w:pPr>
      <w:r>
        <w:rPr>
          <w:rFonts w:ascii="宋体" w:eastAsia="宋体" w:hAnsi="宋体" w:cs="宋体"/>
          <w:b w:val="0"/>
          <w:i w:val="0"/>
          <w:color w:val="000000"/>
          <w:position w:val="-1"/>
          <w:sz w:val="24"/>
          <w:u w:val="none"/>
        </w:rPr>
        <w:t xml:space="preserve"> </w:t>
      </w:r>
    </w:p>
    <w:p w:rsidR="00F6717A" w:rsidP="00F6717A">
      <w:pPr>
        <w:ind w:firstLine="420" w:firstLineChars="200"/>
        <w:rPr>
          <w:rFonts w:ascii="宋体" w:hAnsi="宋体"/>
          <w:b/>
          <w:sz w:val="24"/>
          <w:shd w:val="clear" w:color="auto" w:fill="FFFFFF"/>
        </w:rPr>
      </w:pPr>
      <w:r w:rsidRPr="00B63470">
        <w:rPr>
          <w:rFonts w:ascii="宋体" w:hAnsi="宋体" w:hint="eastAsia"/>
          <w:b/>
          <w:sz w:val="24"/>
          <w:shd w:val="clear" w:color="auto" w:fill="FFFFFF"/>
        </w:rPr>
        <w:t>附:与</w:t>
      </w:r>
      <w:r w:rsidRPr="00B63470">
        <w:rPr>
          <w:rFonts w:ascii="宋体" w:hAnsi="宋体"/>
          <w:b/>
          <w:sz w:val="24"/>
          <w:shd w:val="clear" w:color="auto" w:fill="FFFFFF"/>
        </w:rPr>
        <w:t>私募</w:t>
      </w:r>
      <w:r w:rsidRPr="00B63470">
        <w:rPr>
          <w:rFonts w:ascii="宋体" w:hAnsi="宋体" w:hint="eastAsia"/>
          <w:b/>
          <w:sz w:val="24"/>
          <w:shd w:val="clear" w:color="auto" w:fill="FFFFFF"/>
        </w:rPr>
        <w:t>合作机构</w:t>
      </w:r>
      <w:r w:rsidRPr="00B63470">
        <w:rPr>
          <w:rFonts w:ascii="宋体" w:hAnsi="宋体"/>
          <w:b/>
          <w:sz w:val="24"/>
          <w:shd w:val="clear" w:color="auto" w:fill="FFFFFF"/>
        </w:rPr>
        <w:t>合作情况</w:t>
      </w:r>
    </w:p>
    <w:tbl>
      <w:tblPr>
        <w:tblStyle w:val="TableGrid"/>
        <w:tblW w:w="0" w:type="auto"/>
        <w:tblLook w:val="04A0"/>
      </w:tblPr>
      <w:tblGrid>
        <w:gridCol w:w="3823"/>
        <w:gridCol w:w="4110"/>
      </w:tblGrid>
      <w:tr w:rsidTr="00A642F9">
        <w:tblPrEx>
          <w:tblW w:w="0" w:type="auto"/>
          <w:tblLook w:val="04A0"/>
        </w:tblPrEx>
        <w:tc>
          <w:tcPr>
            <w:tcW w:w="3823"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私募合作机构</w:t>
            </w:r>
          </w:p>
        </w:tc>
        <w:tc>
          <w:tcPr>
            <w:tcW w:w="4110" w:type="dxa"/>
            <w:shd w:val="clear" w:color="auto" w:fill="BFBFBF" w:themeFill="background1" w:themeFillShade="BF"/>
          </w:tcPr>
          <w:p w:rsidR="00F6717A" w:rsidRPr="00A642F9" w:rsidP="005D68AD">
            <w:pPr>
              <w:jc w:val="center"/>
              <w:rPr>
                <w:rFonts w:ascii="宋体" w:hAnsi="宋体"/>
                <w:b/>
                <w:sz w:val="24"/>
              </w:rPr>
            </w:pPr>
            <w:r w:rsidRPr="00A642F9">
              <w:rPr>
                <w:rFonts w:ascii="宋体" w:hAnsi="宋体" w:cs="宋体" w:hint="eastAsia"/>
                <w:b/>
                <w:kern w:val="0"/>
                <w:szCs w:val="21"/>
              </w:rPr>
              <w:t>合作模式</w:t>
            </w:r>
          </w:p>
        </w:tc>
      </w:tr>
      <w:tr w:rsidTr="005D68AD">
        <w:tblPrEx>
          <w:tblW w:w="0" w:type="auto"/>
          <w:tblLook w:val="04A0"/>
        </w:tblPrEx>
        <w:tc>
          <w:tcPr>
            <w:tcW w:w="3823" w:type="dxa"/>
          </w:tcPr>
          <w:p>
            <w:pPr>
              <w:ind w:left="-1" w:right="-1"/>
              <w:jc w:val="center"/>
            </w:pPr>
            <w:r>
              <w:rPr>
                <w:rFonts w:ascii="宋体" w:eastAsia="宋体" w:hAnsi="宋体" w:cs="宋体"/>
                <w:b w:val="0"/>
                <w:i w:val="0"/>
                <w:color w:val="000000"/>
                <w:spacing w:val="0"/>
                <w:position w:val="-1"/>
                <w:sz w:val="24"/>
                <w:u w:val="none"/>
                <w:vertAlign w:val="baseline"/>
              </w:rPr>
              <w:t>-</w:t>
            </w:r>
          </w:p>
        </w:tc>
        <w:tc>
          <w:tcPr>
            <w:tcW w:w="4110" w:type="dxa"/>
          </w:tcPr>
          <w:p>
            <w:pPr>
              <w:ind w:left="-1" w:right="-1"/>
              <w:jc w:val="center"/>
            </w:pPr>
            <w:r>
              <w:rPr>
                <w:rFonts w:ascii="宋体" w:eastAsia="宋体" w:hAnsi="宋体" w:cs="宋体"/>
                <w:b w:val="0"/>
                <w:i w:val="0"/>
                <w:color w:val="000000"/>
                <w:spacing w:val="0"/>
                <w:position w:val="-1"/>
                <w:sz w:val="24"/>
                <w:u w:val="none"/>
                <w:vertAlign w:val="baseline"/>
              </w:rPr>
              <w:t>-</w:t>
            </w:r>
          </w:p>
        </w:tc>
      </w:tr>
    </w:tbl>
    <w:p w:rsidR="008D77ED"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2</w:t>
      </w:r>
      <w:r w:rsidRPr="0071237C">
        <w:rPr>
          <w:rFonts w:hint="eastAsia"/>
          <w:sz w:val="24"/>
          <w:szCs w:val="24"/>
          <w:shd w:val="clear" w:color="auto" w:fill="FFFFFF"/>
        </w:rPr>
        <w:t xml:space="preserve"> 报告期内理财产品流动性风险分析</w:t>
      </w:r>
    </w:p>
    <w:p w:rsidR="008D77ED" w:rsidRPr="008D77ED" w:rsidP="008D77ED">
      <w:pPr>
        <w:ind w:firstLine="420" w:firstLineChars="200"/>
        <w:rPr>
          <w:sz w:val="24"/>
          <w:shd w:val="clear" w:color="auto" w:fill="FFFFFF"/>
        </w:rPr>
      </w:pPr>
      <w:r w:rsidRPr="008D77ED">
        <w:rPr>
          <w:rFonts w:hint="eastAsia"/>
          <w:sz w:val="24"/>
          <w:shd w:val="clear" w:color="auto" w:fill="FFFFFF"/>
        </w:rPr>
        <w:t>流动性风险是指产品在履行与金融负债有关的义务时遇到资金短缺的风险。本产品的流动性风险一方面来自理财份额持有人可在约定的开放日或到期日提出赎回其持有的理财份额，另一方面来自于投资品种所处的交易市场不活跃可能带来的资产变现困难或产品持仓资产在市场出现剧烈波动的情况下难以以合理价格变现的风险。</w:t>
      </w:r>
    </w:p>
    <w:p w:rsidR="008D77ED" w:rsidP="008D77ED">
      <w:pPr>
        <w:ind w:firstLine="420" w:firstLineChars="200"/>
        <w:rPr>
          <w:sz w:val="24"/>
          <w:shd w:val="clear" w:color="auto" w:fill="FFFFFF"/>
        </w:rPr>
      </w:pPr>
      <w:r w:rsidRPr="008D77ED">
        <w:rPr>
          <w:rFonts w:hint="eastAsia"/>
          <w:sz w:val="24"/>
          <w:shd w:val="clear" w:color="auto" w:fill="FFFFFF"/>
        </w:rPr>
        <w:t>本理财产品管理人通过合理安排产品的投资品种和期限结构、限制资产持仓集中度、监控组合资金头寸等方式管理产品的流动性风险，确保本产品资产的变现能力与投资者赎回需求的匹配。报告期内，本产品未发生重大流动性风险事件。</w:t>
      </w:r>
    </w:p>
    <w:p w:rsidR="008D77ED" w:rsidRPr="008D77ED" w:rsidP="008D77ED">
      <w:pPr>
        <w:rPr>
          <w:rFonts w:ascii="宋体" w:hAnsi="宋体"/>
          <w:szCs w:val="21"/>
          <w:shd w:val="clear" w:color="auto" w:fill="FFFFFF"/>
        </w:rPr>
      </w:pPr>
    </w:p>
    <w:p w:rsidR="00F6717A" w:rsidRPr="0071237C" w:rsidP="0071237C">
      <w:pPr>
        <w:pStyle w:val="Heading3"/>
        <w:rPr>
          <w:sz w:val="24"/>
          <w:szCs w:val="24"/>
          <w:shd w:val="clear" w:color="auto" w:fill="FFFFFF"/>
        </w:rPr>
      </w:pPr>
      <w:r w:rsidRPr="0071237C">
        <w:rPr>
          <w:rFonts w:hint="eastAsia"/>
          <w:sz w:val="24"/>
          <w:szCs w:val="24"/>
          <w:shd w:val="clear" w:color="auto" w:fill="FFFFFF"/>
        </w:rPr>
        <w:t>4.1.</w:t>
      </w:r>
      <w:r w:rsidRPr="0071237C">
        <w:rPr>
          <w:sz w:val="24"/>
          <w:szCs w:val="24"/>
          <w:shd w:val="clear" w:color="auto" w:fill="FFFFFF"/>
        </w:rPr>
        <w:t>3</w:t>
      </w:r>
      <w:r w:rsidRPr="0071237C">
        <w:rPr>
          <w:rFonts w:hint="eastAsia"/>
          <w:sz w:val="24"/>
          <w:szCs w:val="24"/>
          <w:shd w:val="clear" w:color="auto" w:fill="FFFFFF"/>
        </w:rPr>
        <w:t xml:space="preserve"> 管理人对未来的简要展望</w:t>
      </w:r>
    </w:p>
    <w:p w:rsidR="002E5860" w:rsidP="0002334A">
      <w:pPr>
        <w:ind w:firstLine="420" w:firstLineChars="200"/>
        <w:rPr>
          <w:rFonts w:ascii="宋体" w:hAnsi="宋体"/>
          <w:sz w:val="24"/>
          <w:szCs w:val="24"/>
          <w:shd w:val="clear" w:color="auto" w:fill="FFFFFF"/>
        </w:rPr>
      </w:pPr>
      <w:bookmarkStart w:id="10" w:name="简要展望"/>
      <w:r>
        <w:rPr>
          <w:rFonts w:ascii="宋体" w:hAnsi="宋体"/>
          <w:sz w:val="24"/>
          <w:szCs w:val="24"/>
          <w:shd w:val="clear" w:color="auto" w:fill="FFFFFF"/>
        </w:rPr>
        <w:t>展望2025年，当前有效需求仍偏弱、经济修复基础尚不牢固，且国际贸易形势进一步复杂化，对国内经济带来挑战，但我国在AI科技等高质量发展领域取得突破，部分经济指标止跌回稳，资本市场信心获得一定恢复。政策方面，预计财政政策、货币政策、产业政策将继续同步配合发力，呵护经济企稳回升。在多空交织的市场中，后续需关注不同政策组合对市场的影响，关注经济基本面的边际变化，关注市场参与者的交易结构及预期差。</w:t>
      </w:r>
      <w:bookmarkEnd w:id="10"/>
    </w:p>
    <w:p w:rsidR="00380479" w:rsidRPr="0071237C" w:rsidP="0071237C">
      <w:pPr>
        <w:pStyle w:val="Heading2"/>
        <w:rPr>
          <w:sz w:val="24"/>
          <w:szCs w:val="24"/>
        </w:rPr>
      </w:pPr>
      <w:bookmarkStart w:id="11" w:name="_Toc256000009"/>
      <w:r w:rsidRPr="0071237C">
        <w:rPr>
          <w:rFonts w:hint="eastAsia"/>
          <w:sz w:val="24"/>
          <w:szCs w:val="24"/>
        </w:rPr>
        <w:t xml:space="preserve">4.2 </w:t>
      </w:r>
      <w:r w:rsidRPr="0071237C" w:rsidR="00364152">
        <w:rPr>
          <w:rFonts w:hint="eastAsia"/>
          <w:sz w:val="24"/>
          <w:szCs w:val="24"/>
        </w:rPr>
        <w:t>理财产品报告期内关联</w:t>
      </w:r>
      <w:r w:rsidRPr="0071237C">
        <w:rPr>
          <w:rFonts w:hint="eastAsia"/>
          <w:sz w:val="24"/>
          <w:szCs w:val="24"/>
        </w:rPr>
        <w:t>交易</w:t>
      </w:r>
      <w:r w:rsidRPr="0071237C" w:rsidR="005C0C96">
        <w:rPr>
          <w:rFonts w:hint="eastAsia"/>
          <w:sz w:val="24"/>
          <w:szCs w:val="24"/>
        </w:rPr>
        <w:t>发生</w:t>
      </w:r>
      <w:r w:rsidRPr="0071237C">
        <w:rPr>
          <w:rFonts w:hint="eastAsia"/>
          <w:sz w:val="24"/>
          <w:szCs w:val="24"/>
        </w:rPr>
        <w:t>情况</w:t>
      </w:r>
      <w:bookmarkEnd w:id="11"/>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1本产品投资于关联方发行的证券，投资金额总计</w:t>
      </w:r>
      <w:r>
        <w:rPr>
          <w:rStyle w:val="DefaultParagraphFont"/>
          <w:rFonts w:ascii="宋体" w:eastAsia="宋体" w:hAnsi="宋体" w:cs="宋体"/>
          <w:b w:val="0"/>
          <w:color w:val="000000"/>
          <w:sz w:val="24"/>
        </w:rPr>
        <w:t>0.00</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2本产品投资于关联方承销的证券，投资金额总计</w:t>
      </w:r>
      <w:r>
        <w:rPr>
          <w:rStyle w:val="DefaultParagraphFont"/>
          <w:rFonts w:ascii="宋体" w:eastAsia="宋体" w:hAnsi="宋体" w:cs="宋体"/>
          <w:b w:val="0"/>
          <w:color w:val="000000"/>
          <w:sz w:val="24"/>
        </w:rPr>
        <w:t>0.00</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sz w:val="24"/>
          <w:szCs w:val="24"/>
          <w:lang w:val="zh-CN"/>
        </w:rPr>
        <w:t>3</w:t>
      </w:r>
      <w:r>
        <w:rPr>
          <w:rStyle w:val="DefaultParagraphFont"/>
          <w:rFonts w:ascii="宋体" w:hAnsi="宋体" w:hint="eastAsia"/>
          <w:sz w:val="24"/>
          <w:szCs w:val="24"/>
          <w:lang w:val="zh-CN"/>
        </w:rPr>
        <w:t>本产品与关联方发生的服务类关联交易</w:t>
      </w:r>
    </w:p>
    <w:p w:rsidR="000E06DE">
      <w:pPr>
        <w:pStyle w:val="Normal0"/>
        <w:ind w:firstLine="420" w:firstLineChars="200"/>
        <w:rPr>
          <w:rStyle w:val="DefaultParagraphFont"/>
          <w:rFonts w:ascii="宋体" w:hAnsi="宋体"/>
          <w:sz w:val="24"/>
          <w:szCs w:val="24"/>
          <w:lang w:val="zh-CN"/>
        </w:rPr>
      </w:pPr>
      <w:r>
        <w:rPr>
          <w:rStyle w:val="DefaultParagraphFont"/>
          <w:rFonts w:ascii="宋体" w:eastAsia="宋体" w:hAnsi="宋体" w:cs="宋体"/>
          <w:b w:val="0"/>
          <w:color w:val="000000"/>
          <w:sz w:val="24"/>
        </w:rPr>
        <w:t>1、本产品投资于关联方发行管理的资管产品，应付管理费296,590.27元；</w:t>
      </w:r>
    </w:p>
    <w:p w:rsidR="000E06DE" w:rsidRPr="001B5777" w:rsidP="001B5777">
      <w:pPr>
        <w:pStyle w:val="Normal0"/>
        <w:rPr>
          <w:rStyle w:val="DefaultParagraphFont"/>
          <w:rFonts w:ascii="宋体" w:hAnsi="宋体"/>
          <w:sz w:val="18"/>
          <w:szCs w:val="18"/>
          <w:shd w:val="clear" w:color="auto" w:fill="FFFFFF"/>
        </w:rPr>
      </w:pPr>
      <w:r w:rsidRPr="001B5777">
        <w:rPr>
          <w:rStyle w:val="DefaultParagraphFont"/>
          <w:rFonts w:ascii="宋体" w:hAnsi="宋体" w:hint="eastAsia"/>
          <w:szCs w:val="21"/>
          <w:shd w:val="clear" w:color="auto" w:fill="FFFFFF"/>
        </w:rPr>
        <w:t>注：此处管理费为应付金额，根据管理人或托管行等第三方提供的管理费率按日加总计算，可能与实付金额存在一定误差。</w:t>
      </w:r>
      <w:r>
        <w:rPr>
          <w:rStyle w:val="DefaultParagraphFont"/>
        </w:rPr>
        <w:cr/>
      </w:r>
      <w:r>
        <w:rPr>
          <w:rStyle w:val="DefaultParagraphFont"/>
          <w:rFonts w:ascii="宋体" w:eastAsia="宋体" w:hAnsi="宋体" w:cs="宋体"/>
          <w:b w:val="0"/>
          <w:i w:val="0"/>
          <w:color w:val="000000"/>
          <w:position w:val="-1"/>
          <w:sz w:val="24"/>
          <w:u w:val="none"/>
        </w:rPr>
        <w:t xml:space="preserve">    2、报告期内，本产品向招商银行股份有限公司实付销售服务费用2,081,866.87元，实付托管费用681,282.18元。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4本产品发生的其他类关联交易，</w:t>
      </w:r>
      <w:r>
        <w:rPr>
          <w:rStyle w:val="DefaultParagraphFont"/>
          <w:rFonts w:ascii="宋体" w:hAnsi="宋体" w:hint="eastAsia"/>
          <w:sz w:val="24"/>
          <w:szCs w:val="24"/>
        </w:rPr>
        <w:t>合计关联交易金额为</w:t>
      </w:r>
      <w:r>
        <w:rPr>
          <w:rStyle w:val="DefaultParagraphFont"/>
          <w:rFonts w:ascii="宋体" w:eastAsia="宋体" w:hAnsi="宋体" w:cs="宋体"/>
          <w:b w:val="0"/>
          <w:color w:val="000000"/>
          <w:sz w:val="24"/>
        </w:rPr>
        <w:t>0.00</w:t>
      </w:r>
      <w:r>
        <w:rPr>
          <w:rStyle w:val="DefaultParagraphFont"/>
          <w:rFonts w:ascii="宋体" w:hAnsi="宋体" w:hint="eastAsia"/>
          <w:sz w:val="24"/>
          <w:szCs w:val="24"/>
          <w:lang w:val="zh-CN"/>
        </w:rPr>
        <w:t>元。</w:t>
      </w:r>
    </w:p>
    <w:p w:rsidR="000E06DE">
      <w:pPr>
        <w:pStyle w:val="Normal0"/>
        <w:rPr>
          <w:rStyle w:val="DefaultParagraphFont"/>
          <w:rFonts w:ascii="宋体" w:hAnsi="宋体"/>
          <w:sz w:val="24"/>
          <w:szCs w:val="24"/>
          <w:lang w:val="zh-CN"/>
        </w:rPr>
      </w:pPr>
      <w:r>
        <w:rPr>
          <w:rStyle w:val="DefaultParagraphFont"/>
          <w:rFonts w:ascii="宋体" w:eastAsia="宋体" w:hAnsi="宋体" w:cs="宋体"/>
          <w:b w:val="0"/>
          <w:color w:val="000000"/>
          <w:sz w:val="24"/>
        </w:rPr>
        <w:t>4.2</w:t>
      </w:r>
      <w:r>
        <w:rPr>
          <w:rStyle w:val="DefaultParagraphFont"/>
          <w:rFonts w:ascii="宋体" w:hAnsi="宋体" w:hint="eastAsia"/>
          <w:sz w:val="24"/>
          <w:szCs w:val="24"/>
        </w:rPr>
        <w:t>.</w:t>
      </w:r>
      <w:r>
        <w:rPr>
          <w:rStyle w:val="DefaultParagraphFont"/>
          <w:rFonts w:ascii="宋体" w:hAnsi="宋体" w:hint="eastAsia"/>
          <w:sz w:val="24"/>
          <w:szCs w:val="24"/>
          <w:lang w:val="zh-CN"/>
        </w:rPr>
        <w:t>5本产品报告期内重大关联交易发生情况</w:t>
      </w:r>
    </w:p>
    <w:p w:rsidR="000E06DE" w:rsidP="006979CC">
      <w:pPr>
        <w:pStyle w:val="Normal0"/>
        <w:rPr>
          <w:rStyle w:val="DefaultParagraphFont"/>
          <w:rFonts w:ascii="宋体" w:hAnsi="宋体"/>
          <w:sz w:val="24"/>
          <w:szCs w:val="24"/>
          <w:lang w:val="zh-CN"/>
        </w:rPr>
      </w:pPr>
      <w:r>
        <w:rPr>
          <w:rStyle w:val="DefaultParagraphFont"/>
          <w:rFonts w:ascii="宋体" w:hAnsi="宋体"/>
          <w:sz w:val="24"/>
          <w:szCs w:val="24"/>
          <w:lang w:val="zh-CN"/>
        </w:rPr>
        <w:tab/>
      </w:r>
      <w:r>
        <w:rPr>
          <w:rStyle w:val="DefaultParagraphFont"/>
          <w:rFonts w:ascii="宋体" w:eastAsia="宋体" w:hAnsi="宋体" w:cs="宋体"/>
          <w:b w:val="0"/>
          <w:color w:val="000000"/>
          <w:sz w:val="24"/>
        </w:rPr>
        <w:t>报告期内，本产品未发生重大关联交易。</w:t>
      </w:r>
    </w:p>
    <w:p w:rsidR="00380479" w:rsidRPr="0071237C">
      <w:pPr>
        <w:pStyle w:val="Heading1"/>
        <w:jc w:val="center"/>
        <w:rPr>
          <w:rFonts w:ascii="宋体" w:hAnsi="宋体"/>
          <w:sz w:val="24"/>
          <w:szCs w:val="24"/>
          <w:shd w:val="clear" w:color="auto" w:fill="FFFFFF"/>
        </w:rPr>
      </w:pPr>
      <w:bookmarkStart w:id="13" w:name="_Toc256000010"/>
      <w:r w:rsidRPr="0071237C">
        <w:rPr>
          <w:rFonts w:ascii="宋体" w:hAnsi="宋体" w:hint="eastAsia"/>
          <w:sz w:val="24"/>
          <w:szCs w:val="24"/>
          <w:shd w:val="clear" w:color="auto" w:fill="FFFFFF"/>
        </w:rPr>
        <w:t>§</w:t>
      </w:r>
      <w:r w:rsidRPr="0071237C" w:rsidR="00B21928">
        <w:rPr>
          <w:rFonts w:ascii="宋体" w:hAnsi="宋体"/>
          <w:sz w:val="24"/>
          <w:szCs w:val="24"/>
          <w:shd w:val="clear" w:color="auto" w:fill="FFFFFF"/>
        </w:rPr>
        <w:t>5</w:t>
      </w:r>
      <w:r w:rsidRPr="0071237C">
        <w:rPr>
          <w:rFonts w:ascii="宋体" w:hAnsi="宋体" w:hint="eastAsia"/>
          <w:sz w:val="24"/>
          <w:szCs w:val="24"/>
          <w:shd w:val="clear" w:color="auto" w:fill="FFFFFF"/>
        </w:rPr>
        <w:t xml:space="preserve"> 投资组合报告</w:t>
      </w:r>
      <w:bookmarkEnd w:id="13"/>
    </w:p>
    <w:p w:rsidR="00B05C45" w:rsidRPr="0071237C" w:rsidP="0071237C">
      <w:pPr>
        <w:pStyle w:val="Heading2"/>
        <w:rPr>
          <w:sz w:val="24"/>
          <w:szCs w:val="24"/>
          <w:shd w:val="clear" w:color="auto" w:fill="FFFFFF"/>
        </w:rPr>
      </w:pPr>
      <w:bookmarkStart w:id="14" w:name="_Toc256000011"/>
      <w:r w:rsidRPr="0071237C">
        <w:rPr>
          <w:sz w:val="24"/>
          <w:szCs w:val="24"/>
          <w:shd w:val="clear" w:color="auto" w:fill="FFFFFF"/>
        </w:rPr>
        <w:t>5</w:t>
      </w:r>
      <w:r w:rsidRPr="0071237C">
        <w:rPr>
          <w:rFonts w:hint="eastAsia"/>
          <w:sz w:val="24"/>
          <w:szCs w:val="24"/>
          <w:shd w:val="clear" w:color="auto" w:fill="FFFFFF"/>
        </w:rPr>
        <w:t>.1 期末理财产品资产组合情况</w:t>
      </w:r>
      <w:bookmarkEnd w:id="14"/>
    </w:p>
    <w:tbl>
      <w:tblPr>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
        <w:gridCol w:w="1729"/>
        <w:gridCol w:w="2149"/>
        <w:gridCol w:w="1417"/>
        <w:gridCol w:w="2149"/>
        <w:gridCol w:w="1417"/>
      </w:tblGrid>
      <w:tr w:rsidTr="00634720">
        <w:tblPrEx>
          <w:tblW w:w="9330"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92"/>
        </w:trPr>
        <w:tc>
          <w:tcPr>
            <w:tcW w:w="46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bookmarkStart w:id="15" w:name="_Toc98232004"/>
            <w:bookmarkStart w:id="16" w:name="_Toc96090170"/>
            <w:bookmarkStart w:id="17" w:name="_Toc96614795"/>
            <w:r>
              <w:rPr>
                <w:rFonts w:ascii="宋体" w:hAnsi="宋体" w:hint="eastAsia"/>
                <w:b/>
                <w:szCs w:val="21"/>
              </w:rPr>
              <w:t>序号</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项目</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穿透前</w:t>
            </w:r>
          </w:p>
        </w:tc>
        <w:tc>
          <w:tcPr>
            <w:tcW w:w="356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穿透后</w:t>
            </w:r>
          </w:p>
        </w:tc>
      </w:tr>
      <w:tr w:rsidTr="00C16DF6">
        <w:tblPrEx>
          <w:tblW w:w="9330" w:type="dxa"/>
          <w:tblInd w:w="-7" w:type="dxa"/>
          <w:tblLayout w:type="fixed"/>
          <w:tblLook w:val="04A0"/>
        </w:tblPrEx>
        <w:trPr>
          <w:trHeight w:val="692"/>
        </w:trPr>
        <w:tc>
          <w:tcPr>
            <w:tcW w:w="46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412139" w:rsidP="00634720">
            <w:pPr>
              <w:widowControl/>
              <w:jc w:val="left"/>
              <w:rPr>
                <w:rFonts w:ascii="宋体" w:hAnsi="宋体"/>
                <w:b/>
                <w:szCs w:val="21"/>
              </w:rPr>
            </w:pP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资产余额</w:t>
            </w:r>
          </w:p>
          <w:p w:rsidR="00412139" w:rsidP="00634720">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c>
          <w:tcPr>
            <w:tcW w:w="2149"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C16DF6">
            <w:pPr>
              <w:jc w:val="center"/>
              <w:rPr>
                <w:rFonts w:ascii="宋体" w:hAnsi="宋体"/>
                <w:b/>
                <w:szCs w:val="21"/>
              </w:rPr>
            </w:pPr>
            <w:r>
              <w:rPr>
                <w:rFonts w:ascii="宋体" w:hAnsi="宋体" w:hint="eastAsia"/>
                <w:b/>
                <w:szCs w:val="21"/>
              </w:rPr>
              <w:t>资产余额</w:t>
            </w:r>
          </w:p>
          <w:p w:rsidR="00412139" w:rsidP="00C16DF6">
            <w:pPr>
              <w:jc w:val="center"/>
              <w:rPr>
                <w:rFonts w:ascii="宋体" w:hAnsi="宋体"/>
                <w:b/>
                <w:szCs w:val="21"/>
              </w:rPr>
            </w:pPr>
            <w:r>
              <w:rPr>
                <w:rFonts w:ascii="宋体" w:hAnsi="宋体" w:hint="eastAsia"/>
                <w:b/>
                <w:szCs w:val="21"/>
              </w:rPr>
              <w:t>（单位：</w:t>
            </w:r>
            <w:r>
              <w:rPr>
                <w:rFonts w:ascii="宋体" w:eastAsia="宋体" w:hAnsi="宋体" w:cs="宋体"/>
                <w:b/>
                <w:i w:val="0"/>
                <w:color w:val="000000"/>
                <w:position w:val="-1"/>
                <w:u w:val="none"/>
              </w:rPr>
              <w:t>元</w:t>
            </w:r>
            <w:r>
              <w:rPr>
                <w:rFonts w:ascii="宋体" w:hAnsi="宋体" w:hint="eastAsia"/>
                <w:b/>
                <w:szCs w:val="21"/>
              </w:rPr>
              <w:t>）</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412139" w:rsidP="00634720">
            <w:pPr>
              <w:jc w:val="center"/>
              <w:rPr>
                <w:rFonts w:ascii="宋体" w:hAnsi="宋体"/>
                <w:b/>
                <w:szCs w:val="21"/>
              </w:rPr>
            </w:pPr>
            <w:r>
              <w:rPr>
                <w:rFonts w:ascii="宋体" w:hAnsi="宋体" w:hint="eastAsia"/>
                <w:b/>
                <w:szCs w:val="21"/>
              </w:rPr>
              <w:t>占产品总资产的比例（%）</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现金及银行存款</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6,995,080.05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0.16</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2,593,669,955.72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57.74</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同业存单</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327,748,189.41</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7.30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拆放同业及债券买入返售</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1,216,762,383.42</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27.10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1,228,177,208.27</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27.35</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债券</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297,933,200.29</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6.64</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325,992,366.75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7.26</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5</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非标准化债权类资产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6</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权益类投资</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7</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金融衍生品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8</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代客境外理财投资QDII</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9</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商品类资产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0</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另类资产</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1</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公募基金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15,560,938.63</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0.35</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2</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私募基金</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3</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资产管理产品</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2,968,251,555.19</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66.10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r>
              <w:rPr>
                <w:rFonts w:ascii="宋体" w:hAnsi="宋体" w:hint="eastAsia"/>
                <w:szCs w:val="21"/>
              </w:rPr>
              <w:t>1</w:t>
            </w:r>
            <w:r>
              <w:rPr>
                <w:rFonts w:ascii="宋体" w:hAnsi="宋体"/>
                <w:szCs w:val="21"/>
              </w:rPr>
              <w:t>4</w:t>
            </w: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委外投资-协议方式</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0.00</w:t>
            </w:r>
          </w:p>
        </w:tc>
      </w:tr>
      <w:tr w:rsidTr="00634720">
        <w:tblPrEx>
          <w:tblW w:w="9330" w:type="dxa"/>
          <w:tblInd w:w="-7" w:type="dxa"/>
          <w:tblLayout w:type="fixed"/>
          <w:tblLook w:val="04A0"/>
        </w:tblPrEx>
        <w:tc>
          <w:tcPr>
            <w:tcW w:w="46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szCs w:val="21"/>
              </w:rPr>
            </w:pPr>
          </w:p>
        </w:tc>
        <w:tc>
          <w:tcPr>
            <w:tcW w:w="1729" w:type="dxa"/>
            <w:tcBorders>
              <w:top w:val="single" w:sz="4" w:space="0" w:color="auto"/>
              <w:left w:val="single" w:sz="4" w:space="0" w:color="auto"/>
              <w:bottom w:val="single" w:sz="4" w:space="0" w:color="auto"/>
              <w:right w:val="single" w:sz="4" w:space="0" w:color="auto"/>
            </w:tcBorders>
            <w:vAlign w:val="center"/>
          </w:tcPr>
          <w:p w:rsidR="00412139" w:rsidP="00634720">
            <w:pPr>
              <w:spacing w:line="360" w:lineRule="auto"/>
              <w:jc w:val="center"/>
              <w:rPr>
                <w:rFonts w:ascii="宋体" w:hAnsi="宋体"/>
                <w:szCs w:val="21"/>
              </w:rPr>
            </w:pPr>
            <w:r>
              <w:rPr>
                <w:rFonts w:ascii="宋体" w:hAnsi="宋体" w:hint="eastAsia"/>
                <w:szCs w:val="21"/>
              </w:rPr>
              <w:t>合计</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4,489,942,218.95</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c>
          <w:tcPr>
            <w:tcW w:w="2149"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4,491,148,658.78</w:t>
            </w:r>
          </w:p>
        </w:tc>
        <w:tc>
          <w:tcPr>
            <w:tcW w:w="1417" w:type="dxa"/>
            <w:tcBorders>
              <w:top w:val="single" w:sz="4" w:space="0" w:color="auto"/>
              <w:left w:val="single" w:sz="4" w:space="0" w:color="auto"/>
              <w:bottom w:val="single" w:sz="4" w:space="0" w:color="auto"/>
              <w:right w:val="single" w:sz="4" w:space="0" w:color="auto"/>
            </w:tcBorders>
            <w:vAlign w:val="center"/>
          </w:tcPr>
          <w:p w:rsidR="00412139" w:rsidP="00634720">
            <w:pPr>
              <w:jc w:val="center"/>
              <w:rPr>
                <w:rFonts w:ascii="宋体" w:hAnsi="宋体"/>
              </w:rPr>
            </w:pPr>
            <w:r>
              <w:rPr>
                <w:rFonts w:ascii="宋体" w:eastAsia="宋体" w:hAnsi="宋体" w:cs="宋体"/>
                <w:b w:val="0"/>
                <w:i w:val="0"/>
                <w:color w:val="000000"/>
                <w:position w:val="-1"/>
                <w:u w:val="none"/>
              </w:rPr>
              <w:t>100.00</w:t>
            </w:r>
          </w:p>
        </w:tc>
      </w:tr>
    </w:tbl>
    <w:p w:rsidR="0071237C" w:rsidRPr="00AB4088" w:rsidP="00B05C45">
      <w:pPr>
        <w:rPr>
          <w:rFonts w:ascii="宋体" w:hAnsi="宋体"/>
          <w:szCs w:val="21"/>
          <w:shd w:val="clear" w:color="auto" w:fill="FFFFFF"/>
        </w:rPr>
      </w:pPr>
      <w:r w:rsidRPr="00491CFA">
        <w:rPr>
          <w:rFonts w:ascii="宋体" w:hAnsi="宋体" w:hint="eastAsia"/>
          <w:szCs w:val="21"/>
          <w:shd w:val="clear" w:color="auto" w:fill="FFFFFF"/>
        </w:rPr>
        <w:t>注</w:t>
      </w:r>
      <w:bookmarkStart w:id="18" w:name="_Toc98232006"/>
      <w:bookmarkEnd w:id="15"/>
      <w:bookmarkEnd w:id="16"/>
      <w:bookmarkEnd w:id="17"/>
      <w:r>
        <w:rPr>
          <w:rFonts w:ascii="宋体" w:hAnsi="宋体" w:hint="eastAsia"/>
          <w:szCs w:val="21"/>
          <w:shd w:val="clear" w:color="auto" w:fill="FFFFFF"/>
        </w:rPr>
        <w:t>：</w:t>
      </w:r>
      <w:r w:rsidRPr="00491CFA">
        <w:rPr>
          <w:rFonts w:ascii="宋体" w:hAnsi="宋体"/>
          <w:szCs w:val="21"/>
          <w:shd w:val="clear" w:color="auto" w:fill="FFFFFF"/>
        </w:rPr>
        <w:t>1.</w:t>
      </w:r>
      <w:r w:rsidRPr="00491CFA">
        <w:rPr>
          <w:rFonts w:ascii="宋体" w:hAnsi="宋体" w:hint="eastAsia"/>
          <w:szCs w:val="21"/>
          <w:shd w:val="clear" w:color="auto" w:fill="FFFFFF"/>
        </w:rPr>
        <w:t>金额中包含资产应计利息、其他应收款项、清算款项和待摊费用。</w:t>
      </w:r>
    </w:p>
    <w:p w:rsidR="00B05C45" w:rsidRPr="00AB4088" w:rsidP="00B05C45">
      <w:pPr>
        <w:rPr>
          <w:rFonts w:ascii="宋体" w:hAnsi="宋体"/>
          <w:szCs w:val="21"/>
          <w:shd w:val="clear" w:color="auto" w:fill="FFFFFF"/>
        </w:rPr>
      </w:pPr>
      <w:r w:rsidRPr="00491CFA">
        <w:rPr>
          <w:rFonts w:ascii="宋体" w:hAnsi="宋体"/>
          <w:szCs w:val="21"/>
          <w:shd w:val="clear" w:color="auto" w:fill="FFFFFF"/>
        </w:rPr>
        <w:t>2.</w:t>
      </w:r>
      <w:r w:rsidRPr="00491CFA">
        <w:rPr>
          <w:rFonts w:ascii="宋体" w:hAnsi="宋体" w:hint="eastAsia"/>
          <w:szCs w:val="21"/>
          <w:shd w:val="clear" w:color="auto" w:fill="FFFFFF"/>
        </w:rPr>
        <w:t>占</w:t>
      </w:r>
      <w:r w:rsidRPr="00491CFA">
        <w:rPr>
          <w:rFonts w:ascii="宋体" w:hAnsi="宋体"/>
          <w:szCs w:val="21"/>
          <w:shd w:val="clear" w:color="auto" w:fill="FFFFFF"/>
        </w:rPr>
        <w:t>产品总资产的比例=资产</w:t>
      </w:r>
      <w:r w:rsidRPr="00491CFA">
        <w:rPr>
          <w:rFonts w:ascii="宋体" w:hAnsi="宋体" w:hint="eastAsia"/>
          <w:szCs w:val="21"/>
          <w:shd w:val="clear" w:color="auto" w:fill="FFFFFF"/>
        </w:rPr>
        <w:t>余额/产品</w:t>
      </w:r>
      <w:r w:rsidRPr="00491CFA">
        <w:rPr>
          <w:rFonts w:ascii="宋体" w:hAnsi="宋体"/>
          <w:szCs w:val="21"/>
          <w:shd w:val="clear" w:color="auto" w:fill="FFFFFF"/>
        </w:rPr>
        <w:t>总资产，</w:t>
      </w:r>
      <w:r w:rsidRPr="00491CFA">
        <w:rPr>
          <w:rFonts w:ascii="宋体" w:hAnsi="宋体" w:hint="eastAsia"/>
          <w:szCs w:val="21"/>
          <w:shd w:val="clear" w:color="auto" w:fill="FFFFFF"/>
        </w:rPr>
        <w:t>占比</w:t>
      </w:r>
      <w:r w:rsidRPr="00491CFA">
        <w:rPr>
          <w:rFonts w:ascii="宋体" w:hAnsi="宋体"/>
          <w:szCs w:val="21"/>
          <w:shd w:val="clear" w:color="auto" w:fill="FFFFFF"/>
        </w:rPr>
        <w:t>结果</w:t>
      </w:r>
      <w:r w:rsidRPr="00491CFA">
        <w:rPr>
          <w:rFonts w:ascii="宋体" w:hAnsi="宋体" w:hint="eastAsia"/>
          <w:szCs w:val="21"/>
          <w:shd w:val="clear" w:color="auto" w:fill="FFFFFF"/>
        </w:rPr>
        <w:t>保留两位小数（因第二位小数四舍五入，可能存在尾差）。</w:t>
      </w:r>
      <w:bookmarkStart w:id="19" w:name="前十大"/>
    </w:p>
    <w:p w:rsidR="00EA25B3">
      <w:pPr>
        <w:pStyle w:val="Heading20"/>
        <w:widowControl/>
        <w:rPr>
          <w:rStyle w:val="DefaultParagraphFont"/>
          <w:rFonts w:cs="宋体" w:hint="default"/>
          <w:color w:val="333333"/>
          <w:kern w:val="0"/>
          <w:szCs w:val="21"/>
          <w:highlight w:val="lightGray"/>
          <w:shd w:val="clear" w:color="auto" w:fill="FFFFFF"/>
        </w:rPr>
      </w:pPr>
      <w:bookmarkStart w:id="20" w:name="_Toc256000012"/>
      <w:r>
        <w:rPr>
          <w:rStyle w:val="DefaultParagraphFont"/>
          <w:sz w:val="24"/>
          <w:szCs w:val="24"/>
          <w:shd w:val="clear" w:color="auto" w:fill="FFFFFF"/>
        </w:rPr>
        <w:t>5.2 期末投资组合前十项资产</w:t>
      </w:r>
      <w:bookmarkEnd w:id="20"/>
    </w:p>
    <w:tbl>
      <w:tblPr>
        <w:tblStyle w:val="TableNormal"/>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09"/>
        <w:gridCol w:w="2386"/>
        <w:gridCol w:w="3046"/>
        <w:gridCol w:w="1631"/>
      </w:tblGrid>
      <w:tr>
        <w:tblPrEx>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c>
          <w:tcPr>
            <w:tcW w:w="2009"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sidRPr="0090581A">
              <w:rPr>
                <w:rStyle w:val="DefaultParagraphFont"/>
                <w:rFonts w:ascii="宋体" w:hAnsi="宋体" w:cs="宋体" w:hint="eastAsia"/>
                <w:b/>
                <w:szCs w:val="21"/>
              </w:rPr>
              <w:t>序号</w:t>
            </w:r>
          </w:p>
        </w:tc>
        <w:tc>
          <w:tcPr>
            <w:tcW w:w="238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资产名称</w:t>
            </w:r>
          </w:p>
        </w:tc>
        <w:tc>
          <w:tcPr>
            <w:tcW w:w="3046" w:type="dxa"/>
            <w:shd w:val="clear" w:color="auto" w:fill="BFBFBF"/>
            <w:vAlign w:val="center"/>
          </w:tcPr>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hint="eastAsia"/>
                <w:b/>
                <w:szCs w:val="21"/>
              </w:rPr>
              <w:t>资产余额</w:t>
            </w:r>
          </w:p>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（单位：</w:t>
            </w:r>
            <w:r>
              <w:rPr>
                <w:rStyle w:val="DefaultParagraphFont"/>
                <w:rFonts w:ascii="宋体" w:eastAsia="宋体" w:hAnsi="宋体" w:cs="宋体"/>
                <w:b/>
                <w:i w:val="0"/>
                <w:color w:val="000000"/>
                <w:position w:val="-1"/>
                <w:u w:val="none"/>
              </w:rPr>
              <w:t>元</w:t>
            </w:r>
            <w:r>
              <w:rPr>
                <w:rStyle w:val="DefaultParagraphFont"/>
                <w:rFonts w:ascii="宋体" w:hAnsi="宋体" w:cs="宋体" w:hint="eastAsia"/>
                <w:b/>
                <w:szCs w:val="21"/>
              </w:rPr>
              <w:t>）</w:t>
            </w:r>
          </w:p>
        </w:tc>
        <w:tc>
          <w:tcPr>
            <w:tcW w:w="1631" w:type="dxa"/>
            <w:shd w:val="clear" w:color="auto" w:fill="BFBFBF"/>
            <w:vAlign w:val="center"/>
          </w:tcPr>
          <w:p w:rsidR="00EA25B3">
            <w:pPr>
              <w:pStyle w:val="Normal1"/>
              <w:widowControl/>
              <w:jc w:val="center"/>
              <w:rPr>
                <w:rStyle w:val="DefaultParagraphFont"/>
                <w:rFonts w:ascii="宋体" w:hAnsi="宋体" w:cs="宋体"/>
                <w:b/>
                <w:szCs w:val="21"/>
              </w:rPr>
            </w:pPr>
            <w:r>
              <w:rPr>
                <w:rStyle w:val="DefaultParagraphFont"/>
                <w:rFonts w:ascii="宋体" w:hAnsi="宋体" w:cs="宋体" w:hint="eastAsia"/>
                <w:b/>
                <w:szCs w:val="21"/>
              </w:rPr>
              <w:t>占产品净资产</w:t>
            </w:r>
          </w:p>
          <w:p w:rsidR="00EA25B3">
            <w:pPr>
              <w:pStyle w:val="Normal1"/>
              <w:widowControl/>
              <w:jc w:val="center"/>
              <w:rPr>
                <w:rStyle w:val="DefaultParagraphFont"/>
                <w:rFonts w:ascii="宋体" w:hAnsi="宋体" w:cs="宋体"/>
                <w:b/>
                <w:color w:val="333333"/>
                <w:kern w:val="0"/>
                <w:szCs w:val="21"/>
                <w:highlight w:val="lightGray"/>
                <w:shd w:val="clear" w:color="auto" w:fill="FFFFFF"/>
              </w:rPr>
            </w:pPr>
            <w:r>
              <w:rPr>
                <w:rStyle w:val="DefaultParagraphFont"/>
                <w:rFonts w:ascii="宋体" w:hAnsi="宋体" w:cs="宋体"/>
                <w:b/>
                <w:szCs w:val="21"/>
              </w:rPr>
              <w:t>的</w:t>
            </w:r>
            <w:r>
              <w:rPr>
                <w:rStyle w:val="DefaultParagraphFont"/>
                <w:rFonts w:ascii="宋体" w:hAnsi="宋体" w:cs="宋体" w:hint="eastAsia"/>
                <w:b/>
                <w:szCs w:val="21"/>
              </w:rPr>
              <w:t>比例（%）</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定期存款1220025510102004</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341,609,687.55</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7.61</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定期存款1220025510102001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227,802,049.71</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5.07</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3</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定期存款1220025510102003</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113,901,024.85</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2.54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定期存款1220025510102002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113,901,024.85</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2.54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24TCLK1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71,851,556.57</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1.60</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6</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定期存款1240649710102001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59,062,553.66</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1.32</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7</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定期存款1220090190104000001</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51,153,986.83</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1.14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8</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定期存款1220090190104000002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51,153,986.83</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1.14</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9</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定期存款1220090190104000003</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50,406,491.11</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1.12</w:t>
            </w:r>
          </w:p>
        </w:tc>
      </w:tr>
      <w:tr>
        <w:tblPrEx>
          <w:tblW w:w="9072" w:type="dxa"/>
          <w:tblInd w:w="-5" w:type="dxa"/>
          <w:tblLook w:val="0000"/>
        </w:tblPrEx>
        <w:trPr>
          <w:trHeight w:val="431"/>
        </w:trPr>
        <w:tc>
          <w:tcPr>
            <w:tcW w:w="2009"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10</w:t>
            </w:r>
          </w:p>
        </w:tc>
        <w:tc>
          <w:tcPr>
            <w:tcW w:w="238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定期存款1240649710104002</w:t>
            </w:r>
          </w:p>
        </w:tc>
        <w:tc>
          <w:tcPr>
            <w:tcW w:w="3046"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49,262,083.66</w:t>
            </w:r>
          </w:p>
        </w:tc>
        <w:tc>
          <w:tcPr>
            <w:tcW w:w="1631" w:type="dxa"/>
            <w:shd w:val="clear" w:color="auto" w:fill="auto"/>
            <w:vAlign w:val="center"/>
          </w:tcPr>
          <w:p>
            <w:pPr>
              <w:pStyle w:val="Normal1"/>
              <w:ind w:left="-1" w:right="-1"/>
              <w:jc w:val="center"/>
              <w:rPr>
                <w:rStyle w:val="DefaultParagraphFont"/>
              </w:rPr>
            </w:pPr>
            <w:r>
              <w:rPr>
                <w:rStyle w:val="DefaultParagraphFont"/>
                <w:rFonts w:ascii="宋体" w:eastAsia="宋体" w:hAnsi="宋体" w:cs="宋体"/>
                <w:b w:val="0"/>
                <w:i w:val="0"/>
                <w:color w:val="000000"/>
                <w:spacing w:val="0"/>
                <w:position w:val="-1"/>
                <w:u w:val="none"/>
                <w:vertAlign w:val="baseline"/>
              </w:rPr>
              <w:t>1.10</w:t>
            </w:r>
          </w:p>
        </w:tc>
      </w:tr>
    </w:tbl>
    <w:p w:rsidR="00EA25B3">
      <w:pPr>
        <w:pStyle w:val="Normal1"/>
        <w:rPr>
          <w:rStyle w:val="DefaultParagraphFont"/>
          <w:rFonts w:ascii="宋体" w:hAnsi="宋体"/>
          <w:szCs w:val="21"/>
          <w:shd w:val="clear" w:color="auto" w:fill="FFFFFF"/>
        </w:rPr>
      </w:pPr>
      <w:r>
        <w:rPr>
          <w:rStyle w:val="DefaultParagraphFont"/>
          <w:rFonts w:ascii="宋体" w:hAnsi="宋体" w:hint="eastAsia"/>
          <w:szCs w:val="21"/>
          <w:shd w:val="clear" w:color="auto" w:fill="FFFFFF"/>
        </w:rPr>
        <w:t>注：占</w:t>
      </w:r>
      <w:r>
        <w:rPr>
          <w:rStyle w:val="DefaultParagraphFont"/>
          <w:rFonts w:ascii="宋体" w:hAnsi="宋体"/>
          <w:szCs w:val="21"/>
          <w:shd w:val="clear" w:color="auto" w:fill="FFFFFF"/>
        </w:rPr>
        <w:t>产品</w:t>
      </w:r>
      <w:r>
        <w:rPr>
          <w:rStyle w:val="DefaultParagraphFont"/>
          <w:rFonts w:ascii="宋体" w:hAnsi="宋体" w:hint="eastAsia"/>
          <w:szCs w:val="21"/>
          <w:shd w:val="clear" w:color="auto" w:fill="FFFFFF"/>
        </w:rPr>
        <w:t>净</w:t>
      </w:r>
      <w:r>
        <w:rPr>
          <w:rStyle w:val="DefaultParagraphFont"/>
          <w:rFonts w:ascii="宋体" w:hAnsi="宋体"/>
          <w:szCs w:val="21"/>
          <w:shd w:val="clear" w:color="auto" w:fill="FFFFFF"/>
        </w:rPr>
        <w:t>资产的比例=资产</w:t>
      </w:r>
      <w:r>
        <w:rPr>
          <w:rStyle w:val="DefaultParagraphFont"/>
          <w:rFonts w:ascii="宋体" w:hAnsi="宋体" w:hint="eastAsia"/>
          <w:szCs w:val="21"/>
          <w:shd w:val="clear" w:color="auto" w:fill="FFFFFF"/>
        </w:rPr>
        <w:t>余额/产品净</w:t>
      </w:r>
      <w:r>
        <w:rPr>
          <w:rStyle w:val="DefaultParagraphFont"/>
          <w:rFonts w:ascii="宋体" w:hAnsi="宋体"/>
          <w:szCs w:val="21"/>
          <w:shd w:val="clear" w:color="auto" w:fill="FFFFFF"/>
        </w:rPr>
        <w:t>资产，</w:t>
      </w:r>
      <w:r>
        <w:rPr>
          <w:rStyle w:val="DefaultParagraphFont"/>
          <w:rFonts w:ascii="宋体" w:hAnsi="宋体" w:hint="eastAsia"/>
          <w:szCs w:val="21"/>
          <w:shd w:val="clear" w:color="auto" w:fill="FFFFFF"/>
        </w:rPr>
        <w:t>占比</w:t>
      </w:r>
      <w:r>
        <w:rPr>
          <w:rStyle w:val="DefaultParagraphFont"/>
          <w:rFonts w:ascii="宋体" w:hAnsi="宋体"/>
          <w:szCs w:val="21"/>
          <w:shd w:val="clear" w:color="auto" w:fill="FFFFFF"/>
        </w:rPr>
        <w:t>结果</w:t>
      </w:r>
      <w:r>
        <w:rPr>
          <w:rStyle w:val="DefaultParagraphFont"/>
          <w:rFonts w:ascii="宋体" w:hAnsi="宋体" w:hint="eastAsia"/>
          <w:szCs w:val="21"/>
          <w:shd w:val="clear" w:color="auto" w:fill="FFFFFF"/>
        </w:rPr>
        <w:t>保留两位小数（因第二位小数四舍五入，可能存在尾差）。</w:t>
      </w:r>
    </w:p>
    <w:p w:rsidR="008D77ED" w:rsidRPr="0071237C" w:rsidP="0071237C">
      <w:pPr>
        <w:pStyle w:val="Heading2"/>
        <w:rPr>
          <w:sz w:val="24"/>
          <w:szCs w:val="24"/>
          <w:shd w:val="clear" w:color="auto" w:fill="FFFFFF"/>
        </w:rPr>
      </w:pPr>
      <w:bookmarkStart w:id="21" w:name="_Toc256000013"/>
      <w:r w:rsidRPr="0071237C">
        <w:rPr>
          <w:sz w:val="24"/>
          <w:szCs w:val="24"/>
          <w:shd w:val="clear" w:color="auto" w:fill="FFFFFF"/>
        </w:rPr>
        <w:t>5</w:t>
      </w:r>
      <w:r w:rsidRPr="0071237C">
        <w:rPr>
          <w:rFonts w:hint="eastAsia"/>
          <w:sz w:val="24"/>
          <w:szCs w:val="24"/>
          <w:shd w:val="clear" w:color="auto" w:fill="FFFFFF"/>
        </w:rPr>
        <w:t>.3 报告期末非标准化债权类资产信息</w:t>
      </w:r>
      <w:bookmarkEnd w:id="21"/>
    </w:p>
    <w:tbl>
      <w:tblPr>
        <w:tblStyle w:val="TableGrid"/>
        <w:tblW w:w="8926" w:type="dxa"/>
        <w:tblLook w:val="04A0"/>
      </w:tblPr>
      <w:tblGrid>
        <w:gridCol w:w="2122"/>
        <w:gridCol w:w="1701"/>
        <w:gridCol w:w="2126"/>
        <w:gridCol w:w="1417"/>
        <w:gridCol w:w="1560"/>
      </w:tblGrid>
      <w:tr w:rsidTr="00905872">
        <w:tblPrEx>
          <w:tblW w:w="8926" w:type="dxa"/>
          <w:tblLook w:val="04A0"/>
        </w:tblPrEx>
        <w:tc>
          <w:tcPr>
            <w:tcW w:w="2122"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资产名称</w:t>
            </w:r>
          </w:p>
        </w:tc>
        <w:tc>
          <w:tcPr>
            <w:tcW w:w="1701"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融资客户名称</w:t>
            </w:r>
          </w:p>
        </w:tc>
        <w:tc>
          <w:tcPr>
            <w:tcW w:w="2126" w:type="dxa"/>
            <w:shd w:val="clear" w:color="auto" w:fill="BFBFBF" w:themeFill="background1" w:themeFillShade="BF"/>
            <w:vAlign w:val="center"/>
          </w:tcPr>
          <w:p w:rsidR="000133EF" w:rsidRPr="00B53D88" w:rsidP="00905872">
            <w:pPr>
              <w:widowControl/>
              <w:jc w:val="center"/>
              <w:rPr>
                <w:rFonts w:ascii="宋体" w:hAnsi="宋体" w:cs="宋体"/>
                <w:b/>
                <w:szCs w:val="21"/>
              </w:rPr>
            </w:pPr>
            <w:r w:rsidRPr="00B53D88">
              <w:rPr>
                <w:rFonts w:ascii="宋体" w:hAnsi="宋体" w:cs="宋体" w:hint="eastAsia"/>
                <w:b/>
                <w:szCs w:val="21"/>
              </w:rPr>
              <w:t>项目剩余</w:t>
            </w:r>
          </w:p>
          <w:p w:rsidR="000133EF" w:rsidRPr="00B53D88" w:rsidP="00905872">
            <w:pPr>
              <w:widowControl/>
              <w:jc w:val="center"/>
              <w:rPr>
                <w:rFonts w:ascii="宋体" w:hAnsi="宋体" w:cs="宋体"/>
                <w:b/>
                <w:szCs w:val="21"/>
              </w:rPr>
            </w:pPr>
            <w:r w:rsidRPr="00B53D88">
              <w:rPr>
                <w:rFonts w:ascii="宋体" w:hAnsi="宋体" w:cs="宋体" w:hint="eastAsia"/>
                <w:b/>
                <w:szCs w:val="21"/>
              </w:rPr>
              <w:t>融资期限</w:t>
            </w:r>
          </w:p>
          <w:p w:rsidR="000133EF" w:rsidRPr="00085A6E" w:rsidP="00905872">
            <w:pPr>
              <w:widowControl/>
              <w:jc w:val="center"/>
              <w:rPr>
                <w:rFonts w:ascii="宋体" w:hAnsi="宋体" w:cs="宋体"/>
                <w:b/>
                <w:szCs w:val="21"/>
              </w:rPr>
            </w:pPr>
            <w:r w:rsidRPr="00B53D88">
              <w:rPr>
                <w:rFonts w:ascii="宋体" w:hAnsi="宋体" w:cs="宋体" w:hint="eastAsia"/>
                <w:b/>
                <w:szCs w:val="21"/>
              </w:rPr>
              <w:t>（单位：天）</w:t>
            </w:r>
          </w:p>
        </w:tc>
        <w:tc>
          <w:tcPr>
            <w:tcW w:w="1417"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560" w:type="dxa"/>
            <w:shd w:val="clear" w:color="auto" w:fill="BFBFBF" w:themeFill="background1" w:themeFillShade="BF"/>
            <w:vAlign w:val="center"/>
          </w:tcPr>
          <w:p w:rsidR="000133EF" w:rsidRPr="00085A6E" w:rsidP="00905872">
            <w:pPr>
              <w:widowControl/>
              <w:jc w:val="center"/>
              <w:rPr>
                <w:rFonts w:ascii="宋体" w:hAnsi="宋体" w:cs="宋体"/>
                <w:b/>
                <w:szCs w:val="21"/>
              </w:rPr>
            </w:pPr>
            <w:r w:rsidRPr="00085A6E">
              <w:rPr>
                <w:rFonts w:ascii="宋体" w:hAnsi="宋体" w:cs="宋体" w:hint="eastAsia"/>
                <w:b/>
                <w:szCs w:val="21"/>
              </w:rPr>
              <w:t>风险状况</w:t>
            </w:r>
          </w:p>
        </w:tc>
      </w:tr>
      <w:tr w:rsidTr="00905872">
        <w:tblPrEx>
          <w:tblW w:w="8926" w:type="dxa"/>
          <w:tblLook w:val="04A0"/>
        </w:tblPrEx>
        <w:trPr>
          <w:trHeight w:val="432"/>
        </w:trPr>
        <w:tc>
          <w:tcPr>
            <w:tcW w:w="2122"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701"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6"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417"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6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D77ED" w:rsidP="008D77ED">
      <w:pPr>
        <w:rPr>
          <w:shd w:val="clear" w:color="auto" w:fill="FFFFFF"/>
        </w:rPr>
      </w:pPr>
      <w:r w:rsidRPr="00604EA3">
        <w:rPr>
          <w:rFonts w:hint="eastAsia"/>
          <w:shd w:val="clear" w:color="auto" w:fill="FFFFFF"/>
        </w:rPr>
        <w:t>注</w:t>
      </w:r>
      <w:r w:rsidR="00BF5002">
        <w:rPr>
          <w:rFonts w:hint="eastAsia"/>
          <w:shd w:val="clear" w:color="auto" w:fill="FFFFFF"/>
        </w:rPr>
        <w:t>：</w:t>
      </w:r>
      <w:r w:rsidRPr="00604EA3">
        <w:rPr>
          <w:rFonts w:hint="eastAsia"/>
          <w:shd w:val="clear" w:color="auto" w:fill="FFFFFF"/>
        </w:rPr>
        <w:t>项目剩余融资期限为非标准化债权类资产自报告期末至项目结束之间的期限，如该笔资产在报</w:t>
      </w:r>
      <w:r w:rsidRPr="00604EA3">
        <w:rPr>
          <w:rFonts w:hint="eastAsia"/>
          <w:shd w:val="clear" w:color="auto" w:fill="FFFFFF"/>
        </w:rPr>
        <w:t>告期内已到期或已卖出，则显示为“</w:t>
      </w:r>
      <w:r w:rsidRPr="00604EA3">
        <w:rPr>
          <w:rFonts w:hint="eastAsia"/>
          <w:shd w:val="clear" w:color="auto" w:fill="FFFFFF"/>
        </w:rPr>
        <w:t>-</w:t>
      </w:r>
      <w:r w:rsidRPr="00604EA3">
        <w:rPr>
          <w:rFonts w:hint="eastAsia"/>
          <w:shd w:val="clear" w:color="auto" w:fill="FFFFFF"/>
        </w:rPr>
        <w:t>”。</w:t>
      </w:r>
    </w:p>
    <w:p w:rsidR="008D77ED" w:rsidRPr="0071237C" w:rsidP="0071237C">
      <w:pPr>
        <w:pStyle w:val="Heading2"/>
        <w:rPr>
          <w:sz w:val="24"/>
          <w:szCs w:val="24"/>
          <w:shd w:val="clear" w:color="auto" w:fill="FFFFFF"/>
        </w:rPr>
      </w:pPr>
      <w:bookmarkStart w:id="22" w:name="_Toc96614799"/>
      <w:bookmarkStart w:id="23" w:name="_Toc256000014"/>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4</w:t>
      </w:r>
      <w:r w:rsidRPr="0071237C">
        <w:rPr>
          <w:rFonts w:hint="eastAsia"/>
          <w:sz w:val="24"/>
          <w:szCs w:val="24"/>
          <w:shd w:val="clear" w:color="auto" w:fill="FFFFFF"/>
        </w:rPr>
        <w:t xml:space="preserve"> 报告期</w:t>
      </w:r>
      <w:r w:rsidRPr="0071237C">
        <w:rPr>
          <w:sz w:val="24"/>
          <w:szCs w:val="24"/>
          <w:shd w:val="clear" w:color="auto" w:fill="FFFFFF"/>
        </w:rPr>
        <w:t>内</w:t>
      </w:r>
      <w:r w:rsidRPr="0071237C">
        <w:rPr>
          <w:rFonts w:hint="eastAsia"/>
          <w:sz w:val="24"/>
          <w:szCs w:val="24"/>
          <w:shd w:val="clear" w:color="auto" w:fill="FFFFFF"/>
        </w:rPr>
        <w:t>到期</w:t>
      </w:r>
      <w:r w:rsidRPr="0071237C">
        <w:rPr>
          <w:sz w:val="24"/>
          <w:szCs w:val="24"/>
          <w:shd w:val="clear" w:color="auto" w:fill="FFFFFF"/>
        </w:rPr>
        <w:t>的</w:t>
      </w:r>
      <w:r w:rsidRPr="0071237C">
        <w:rPr>
          <w:rFonts w:hint="eastAsia"/>
          <w:sz w:val="24"/>
          <w:szCs w:val="24"/>
          <w:shd w:val="clear" w:color="auto" w:fill="FFFFFF"/>
        </w:rPr>
        <w:t>非标准化</w:t>
      </w:r>
      <w:r w:rsidRPr="0071237C">
        <w:rPr>
          <w:sz w:val="24"/>
          <w:szCs w:val="24"/>
          <w:shd w:val="clear" w:color="auto" w:fill="FFFFFF"/>
        </w:rPr>
        <w:t>债权类资产及收益情况</w:t>
      </w:r>
      <w:bookmarkEnd w:id="23"/>
      <w:bookmarkEnd w:id="22"/>
    </w:p>
    <w:tbl>
      <w:tblPr>
        <w:tblStyle w:val="TableGrid"/>
        <w:tblW w:w="9060" w:type="dxa"/>
        <w:tblLook w:val="04A0"/>
      </w:tblPr>
      <w:tblGrid>
        <w:gridCol w:w="1953"/>
        <w:gridCol w:w="1188"/>
        <w:gridCol w:w="1543"/>
        <w:gridCol w:w="1123"/>
        <w:gridCol w:w="1133"/>
        <w:gridCol w:w="2120"/>
      </w:tblGrid>
      <w:tr w:rsidTr="00291DB1">
        <w:tblPrEx>
          <w:tblW w:w="9060" w:type="dxa"/>
          <w:tblLook w:val="04A0"/>
        </w:tblPrEx>
        <w:tc>
          <w:tcPr>
            <w:tcW w:w="195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资产名称</w:t>
            </w:r>
          </w:p>
        </w:tc>
        <w:tc>
          <w:tcPr>
            <w:tcW w:w="1188"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融资客户名称</w:t>
            </w:r>
          </w:p>
        </w:tc>
        <w:tc>
          <w:tcPr>
            <w:tcW w:w="1543" w:type="dxa"/>
            <w:shd w:val="clear" w:color="auto" w:fill="BFBFBF" w:themeFill="background1" w:themeFillShade="BF"/>
            <w:vAlign w:val="center"/>
          </w:tcPr>
          <w:p w:rsidR="00EF0D0E" w:rsidRPr="00B53D88" w:rsidP="00E553B0">
            <w:pPr>
              <w:widowControl/>
              <w:jc w:val="center"/>
              <w:rPr>
                <w:rFonts w:ascii="宋体" w:hAnsi="宋体" w:cs="宋体"/>
                <w:b/>
                <w:szCs w:val="21"/>
              </w:rPr>
            </w:pPr>
            <w:r w:rsidRPr="00B53D88">
              <w:rPr>
                <w:rFonts w:ascii="宋体" w:hAnsi="宋体" w:cs="宋体" w:hint="eastAsia"/>
                <w:b/>
                <w:szCs w:val="21"/>
              </w:rPr>
              <w:t>项目剩余融资期限</w:t>
            </w:r>
          </w:p>
          <w:p w:rsidR="00EF0D0E" w:rsidRPr="00085A6E" w:rsidP="00E553B0">
            <w:pPr>
              <w:widowControl/>
              <w:jc w:val="center"/>
              <w:rPr>
                <w:rFonts w:ascii="宋体" w:hAnsi="宋体" w:cs="宋体"/>
                <w:b/>
                <w:szCs w:val="21"/>
              </w:rPr>
            </w:pPr>
            <w:r w:rsidRPr="00B53D88">
              <w:rPr>
                <w:rFonts w:ascii="宋体" w:hAnsi="宋体" w:cs="宋体" w:hint="eastAsia"/>
                <w:b/>
                <w:szCs w:val="21"/>
              </w:rPr>
              <w:t>（单位：天）</w:t>
            </w:r>
          </w:p>
        </w:tc>
        <w:tc>
          <w:tcPr>
            <w:tcW w:w="112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B53D88">
              <w:rPr>
                <w:rFonts w:ascii="宋体" w:hAnsi="宋体" w:cs="宋体" w:hint="eastAsia"/>
                <w:b/>
                <w:szCs w:val="21"/>
              </w:rPr>
              <w:t>交易</w:t>
            </w:r>
            <w:r w:rsidRPr="00B53D88">
              <w:rPr>
                <w:rFonts w:ascii="宋体" w:hAnsi="宋体" w:cs="宋体"/>
                <w:b/>
                <w:szCs w:val="21"/>
              </w:rPr>
              <w:t>结构</w:t>
            </w:r>
          </w:p>
        </w:tc>
        <w:tc>
          <w:tcPr>
            <w:tcW w:w="1133" w:type="dxa"/>
            <w:shd w:val="clear" w:color="auto" w:fill="BFBFBF" w:themeFill="background1" w:themeFillShade="BF"/>
            <w:vAlign w:val="center"/>
          </w:tcPr>
          <w:p w:rsidR="00EF0D0E" w:rsidRPr="00085A6E" w:rsidP="00E553B0">
            <w:pPr>
              <w:widowControl/>
              <w:jc w:val="center"/>
              <w:rPr>
                <w:rFonts w:ascii="宋体" w:hAnsi="宋体" w:cs="宋体"/>
                <w:b/>
                <w:szCs w:val="21"/>
              </w:rPr>
            </w:pPr>
            <w:r w:rsidRPr="00085A6E">
              <w:rPr>
                <w:rFonts w:ascii="宋体" w:hAnsi="宋体" w:cs="宋体" w:hint="eastAsia"/>
                <w:b/>
                <w:szCs w:val="21"/>
              </w:rPr>
              <w:t>风险状况</w:t>
            </w:r>
          </w:p>
        </w:tc>
        <w:tc>
          <w:tcPr>
            <w:tcW w:w="2120" w:type="dxa"/>
            <w:shd w:val="clear" w:color="auto" w:fill="BFBFBF" w:themeFill="background1" w:themeFillShade="BF"/>
            <w:vAlign w:val="center"/>
          </w:tcPr>
          <w:p w:rsidR="00291DB1" w:rsidP="00291DB1">
            <w:pPr>
              <w:widowControl/>
              <w:jc w:val="center"/>
              <w:rPr>
                <w:rFonts w:ascii="宋体" w:hAnsi="宋体" w:cs="宋体"/>
                <w:b/>
                <w:szCs w:val="21"/>
              </w:rPr>
            </w:pPr>
            <w:r w:rsidRPr="00AE53EF">
              <w:rPr>
                <w:rFonts w:ascii="宋体" w:hAnsi="宋体" w:cs="宋体" w:hint="eastAsia"/>
                <w:b/>
                <w:szCs w:val="21"/>
              </w:rPr>
              <w:t>投资收益</w:t>
            </w:r>
          </w:p>
          <w:p w:rsidR="00EF0D0E" w:rsidRPr="00085A6E" w:rsidP="00291DB1">
            <w:pPr>
              <w:widowControl/>
              <w:jc w:val="center"/>
              <w:rPr>
                <w:rFonts w:ascii="宋体" w:hAnsi="宋体" w:cs="宋体"/>
                <w:b/>
                <w:szCs w:val="21"/>
              </w:rPr>
            </w:pPr>
            <w:r w:rsidRPr="00AE53EF">
              <w:rPr>
                <w:rFonts w:ascii="宋体" w:hAnsi="宋体" w:cs="宋体" w:hint="eastAsia"/>
                <w:b/>
                <w:szCs w:val="21"/>
              </w:rPr>
              <w:t>（单位：</w:t>
            </w:r>
            <w:r>
              <w:rPr>
                <w:rFonts w:ascii="宋体" w:eastAsia="宋体" w:hAnsi="宋体" w:cs="宋体"/>
                <w:b/>
                <w:i w:val="0"/>
                <w:color w:val="000000"/>
                <w:position w:val="-1"/>
                <w:u w:val="none"/>
              </w:rPr>
              <w:t>元</w:t>
            </w:r>
            <w:r w:rsidRPr="00AE53EF">
              <w:rPr>
                <w:rFonts w:ascii="宋体" w:hAnsi="宋体" w:cs="宋体" w:hint="eastAsia"/>
                <w:b/>
                <w:szCs w:val="21"/>
              </w:rPr>
              <w:t>）</w:t>
            </w:r>
          </w:p>
        </w:tc>
      </w:tr>
      <w:tr w:rsidTr="008709AE">
        <w:tblPrEx>
          <w:tblW w:w="9060" w:type="dxa"/>
          <w:tblLook w:val="04A0"/>
        </w:tblPrEx>
        <w:trPr>
          <w:trHeight w:val="431"/>
        </w:trPr>
        <w:tc>
          <w:tcPr>
            <w:tcW w:w="195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88"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54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2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133" w:type="dxa"/>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120" w:type="dxa"/>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EF0D0E" w:rsidP="00EF0D0E">
      <w:pPr>
        <w:rPr>
          <w:shd w:val="clear" w:color="auto" w:fill="FFFFFF"/>
        </w:rPr>
      </w:pPr>
      <w:r w:rsidRPr="008535C8">
        <w:rPr>
          <w:rFonts w:hint="eastAsia"/>
          <w:shd w:val="clear" w:color="auto" w:fill="FFFFFF"/>
        </w:rPr>
        <w:t>注</w:t>
      </w:r>
      <w:r>
        <w:rPr>
          <w:rFonts w:hint="eastAsia"/>
          <w:shd w:val="clear" w:color="auto" w:fill="FFFFFF"/>
        </w:rPr>
        <w:t>：</w:t>
      </w:r>
    </w:p>
    <w:p w:rsidR="00EF0D0E" w:rsidP="00EF0D0E">
      <w:pPr>
        <w:rPr>
          <w:shd w:val="clear" w:color="auto" w:fill="FFFFFF"/>
        </w:rPr>
      </w:pPr>
      <w:r>
        <w:rPr>
          <w:rFonts w:ascii="宋体" w:hAnsi="宋体" w:hint="eastAsia"/>
          <w:szCs w:val="21"/>
          <w:shd w:val="clear" w:color="auto" w:fill="FFFFFF"/>
        </w:rPr>
        <w:t>1</w:t>
      </w:r>
      <w:r>
        <w:rPr>
          <w:rFonts w:ascii="宋体" w:hAnsi="宋体"/>
          <w:szCs w:val="21"/>
          <w:shd w:val="clear" w:color="auto" w:fill="FFFFFF"/>
        </w:rPr>
        <w:t>.</w:t>
      </w:r>
      <w:r w:rsidRPr="008535C8">
        <w:rPr>
          <w:rFonts w:hint="eastAsia"/>
          <w:shd w:val="clear" w:color="auto" w:fill="FFFFFF"/>
        </w:rPr>
        <w:t>项目剩余融资期限为非标准化债权类资产自报告期末至项目结束之间的期限，如该笔资产在报告期内已到期或已卖出，则显示为“</w:t>
      </w:r>
      <w:r w:rsidRPr="008535C8">
        <w:rPr>
          <w:rFonts w:hint="eastAsia"/>
          <w:shd w:val="clear" w:color="auto" w:fill="FFFFFF"/>
        </w:rPr>
        <w:t>-</w:t>
      </w:r>
      <w:r w:rsidRPr="008535C8">
        <w:rPr>
          <w:rFonts w:hint="eastAsia"/>
          <w:shd w:val="clear" w:color="auto" w:fill="FFFFFF"/>
        </w:rPr>
        <w:t>”。</w:t>
      </w:r>
    </w:p>
    <w:p w:rsidR="00EF0D0E" w:rsidRPr="00AE53EF" w:rsidP="00EF0D0E">
      <w:pPr>
        <w:rPr>
          <w:shd w:val="clear" w:color="auto" w:fill="FFFFFF"/>
        </w:rPr>
      </w:pPr>
      <w:r>
        <w:rPr>
          <w:rFonts w:ascii="宋体" w:hAnsi="宋体" w:hint="eastAsia"/>
          <w:szCs w:val="21"/>
          <w:shd w:val="clear" w:color="auto" w:fill="FFFFFF"/>
        </w:rPr>
        <w:t>2</w:t>
      </w:r>
      <w:r>
        <w:rPr>
          <w:rFonts w:ascii="宋体" w:hAnsi="宋体"/>
          <w:szCs w:val="21"/>
          <w:shd w:val="clear" w:color="auto" w:fill="FFFFFF"/>
        </w:rPr>
        <w:t>.</w:t>
      </w:r>
      <w:r w:rsidRPr="00931AE2">
        <w:rPr>
          <w:shd w:val="clear" w:color="auto" w:fill="FFFFFF"/>
        </w:rPr>
        <w:t>投资收益为理财产品持有该笔资产期间</w:t>
      </w:r>
      <w:r w:rsidRPr="00931AE2">
        <w:rPr>
          <w:rFonts w:hint="eastAsia"/>
        </w:rPr>
        <w:t>的投资收益情况。</w:t>
      </w:r>
    </w:p>
    <w:p w:rsidR="008D77ED" w:rsidRPr="0071237C" w:rsidP="0071237C">
      <w:pPr>
        <w:pStyle w:val="Heading2"/>
        <w:rPr>
          <w:sz w:val="24"/>
          <w:szCs w:val="24"/>
          <w:shd w:val="clear" w:color="auto" w:fill="FFFFFF"/>
        </w:rPr>
      </w:pPr>
      <w:bookmarkStart w:id="24" w:name="_Toc256000015"/>
      <w:r w:rsidRPr="0071237C">
        <w:rPr>
          <w:sz w:val="24"/>
          <w:szCs w:val="24"/>
          <w:shd w:val="clear" w:color="auto" w:fill="FFFFFF"/>
        </w:rPr>
        <w:t>5</w:t>
      </w:r>
      <w:r w:rsidRPr="0071237C">
        <w:rPr>
          <w:rFonts w:hint="eastAsia"/>
          <w:sz w:val="24"/>
          <w:szCs w:val="24"/>
          <w:shd w:val="clear" w:color="auto" w:fill="FFFFFF"/>
        </w:rPr>
        <w:t>.</w:t>
      </w:r>
      <w:r w:rsidRPr="0071237C">
        <w:rPr>
          <w:sz w:val="24"/>
          <w:szCs w:val="24"/>
          <w:shd w:val="clear" w:color="auto" w:fill="FFFFFF"/>
        </w:rPr>
        <w:t>5</w:t>
      </w:r>
      <w:r w:rsidRPr="0071237C">
        <w:rPr>
          <w:rFonts w:hint="eastAsia"/>
          <w:sz w:val="24"/>
          <w:szCs w:val="24"/>
          <w:shd w:val="clear" w:color="auto" w:fill="FFFFFF"/>
        </w:rPr>
        <w:t xml:space="preserve"> 报告期末信贷资产收受益权资产信息</w:t>
      </w:r>
      <w:bookmarkEnd w:id="24"/>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29"/>
        <w:gridCol w:w="2412"/>
        <w:gridCol w:w="3685"/>
      </w:tblGrid>
      <w:tr w:rsidTr="0071237C">
        <w:tblPrEx>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65"/>
        </w:trPr>
        <w:tc>
          <w:tcPr>
            <w:tcW w:w="1585"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资产</w:t>
            </w:r>
            <w:r w:rsidRPr="004C7F8B">
              <w:rPr>
                <w:rFonts w:ascii="宋体" w:hAnsi="宋体" w:cs="宋体" w:hint="eastAsia"/>
                <w:b/>
                <w:szCs w:val="21"/>
              </w:rPr>
              <w:t>名称</w:t>
            </w:r>
          </w:p>
        </w:tc>
        <w:tc>
          <w:tcPr>
            <w:tcW w:w="1351" w:type="pct"/>
            <w:shd w:val="clear" w:color="auto" w:fill="BFBFBF"/>
            <w:vAlign w:val="center"/>
            <w:hideMark/>
          </w:tcPr>
          <w:p w:rsidR="008D77ED" w:rsidRPr="004C7F8B" w:rsidP="00090C9E">
            <w:pPr>
              <w:widowControl/>
              <w:jc w:val="center"/>
              <w:rPr>
                <w:rFonts w:ascii="宋体" w:hAnsi="宋体" w:cs="宋体"/>
                <w:b/>
                <w:color w:val="333333"/>
                <w:kern w:val="0"/>
                <w:szCs w:val="21"/>
                <w:highlight w:val="lightGray"/>
                <w:shd w:val="clear" w:color="auto" w:fill="FFFFFF"/>
              </w:rPr>
            </w:pPr>
            <w:r>
              <w:rPr>
                <w:rFonts w:ascii="宋体" w:hAnsi="宋体" w:cs="宋体" w:hint="eastAsia"/>
                <w:b/>
                <w:szCs w:val="21"/>
              </w:rPr>
              <w:t>原始权益人</w:t>
            </w:r>
            <w:r w:rsidRPr="004C7F8B">
              <w:rPr>
                <w:rFonts w:ascii="宋体" w:hAnsi="宋体" w:cs="宋体" w:hint="eastAsia"/>
                <w:b/>
                <w:szCs w:val="21"/>
              </w:rPr>
              <w:t>名称</w:t>
            </w:r>
          </w:p>
        </w:tc>
        <w:tc>
          <w:tcPr>
            <w:tcW w:w="2064" w:type="pct"/>
            <w:shd w:val="clear" w:color="auto" w:fill="BFBFBF"/>
            <w:vAlign w:val="center"/>
            <w:hideMark/>
          </w:tcPr>
          <w:p w:rsidR="008D77ED" w:rsidRPr="00931AE2" w:rsidP="00975504">
            <w:pPr>
              <w:widowControl/>
              <w:jc w:val="center"/>
              <w:rPr>
                <w:rFonts w:ascii="宋体" w:hAnsi="宋体" w:cs="宋体"/>
                <w:b/>
                <w:szCs w:val="21"/>
              </w:rPr>
            </w:pPr>
            <w:r w:rsidRPr="00931AE2">
              <w:rPr>
                <w:rFonts w:ascii="宋体" w:hAnsi="宋体" w:cs="宋体" w:hint="eastAsia"/>
                <w:b/>
                <w:szCs w:val="21"/>
              </w:rPr>
              <w:t>项目剩余融资期限</w:t>
            </w:r>
          </w:p>
          <w:p w:rsidR="008D77ED" w:rsidRPr="004C7F8B" w:rsidP="00090C9E">
            <w:pPr>
              <w:widowControl/>
              <w:jc w:val="center"/>
              <w:rPr>
                <w:rFonts w:ascii="宋体" w:hAnsi="宋体" w:cs="宋体"/>
                <w:b/>
                <w:color w:val="333333"/>
                <w:kern w:val="0"/>
                <w:szCs w:val="21"/>
                <w:highlight w:val="lightGray"/>
                <w:shd w:val="clear" w:color="auto" w:fill="FFFFFF"/>
              </w:rPr>
            </w:pPr>
            <w:r w:rsidRPr="00931AE2">
              <w:rPr>
                <w:rFonts w:ascii="宋体" w:hAnsi="宋体" w:cs="宋体" w:hint="eastAsia"/>
                <w:b/>
                <w:szCs w:val="21"/>
              </w:rPr>
              <w:t>（单位：天）</w:t>
            </w:r>
          </w:p>
        </w:tc>
      </w:tr>
      <w:tr w:rsidTr="0071237C">
        <w:tblPrEx>
          <w:tblW w:w="4926" w:type="pct"/>
          <w:tblLook w:val="04A0"/>
        </w:tblPrEx>
        <w:trPr>
          <w:trHeight w:val="430"/>
        </w:trPr>
        <w:tc>
          <w:tcPr>
            <w:tcW w:w="1585"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1351"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c>
          <w:tcPr>
            <w:tcW w:w="2064" w:type="pct"/>
            <w:shd w:val="clear" w:color="auto" w:fill="auto"/>
            <w:vAlign w:val="center"/>
          </w:tcPr>
          <w:p>
            <w:pPr>
              <w:ind w:left="-1" w:right="-1"/>
              <w:jc w:val="center"/>
            </w:pPr>
            <w:r>
              <w:rPr>
                <w:rFonts w:ascii="宋体" w:eastAsia="宋体" w:hAnsi="宋体" w:cs="宋体"/>
                <w:b w:val="0"/>
                <w:i w:val="0"/>
                <w:color w:val="000000"/>
                <w:spacing w:val="0"/>
                <w:position w:val="-1"/>
                <w:u w:val="none"/>
                <w:vertAlign w:val="baseline"/>
              </w:rPr>
              <w:t>-</w:t>
            </w:r>
          </w:p>
        </w:tc>
      </w:tr>
    </w:tbl>
    <w:p w:rsidR="008B7BD8" w:rsidRPr="00BB25DC" w:rsidP="00BB25DC">
      <w:pPr>
        <w:pStyle w:val="Heading22"/>
        <w:rPr>
          <w:rStyle w:val="DefaultParagraphFont"/>
          <w:rFonts w:eastAsia="宋体" w:cs="Times New Roman"/>
          <w:sz w:val="24"/>
          <w:szCs w:val="24"/>
          <w:shd w:val="clear" w:color="auto" w:fill="FFFFFF"/>
          <w:lang w:val="en-US" w:eastAsia="zh-CN" w:bidi="ar-SA"/>
        </w:rPr>
      </w:pPr>
      <w:bookmarkStart w:id="26" w:name="_Toc256000016"/>
      <w:r w:rsidRPr="00BB25DC">
        <w:rPr>
          <w:rStyle w:val="DefaultParagraphFont"/>
          <w:rFonts w:eastAsia="宋体" w:cs="Times New Roman"/>
          <w:sz w:val="24"/>
          <w:szCs w:val="24"/>
          <w:shd w:val="clear" w:color="auto" w:fill="FFFFFF"/>
          <w:lang w:val="en-US" w:eastAsia="zh-CN" w:bidi="ar-SA"/>
        </w:rPr>
        <w:t>5</w:t>
      </w:r>
      <w:r w:rsidRPr="00BB25DC">
        <w:rPr>
          <w:rStyle w:val="DefaultParagraphFont"/>
          <w:rFonts w:eastAsia="宋体" w:cs="Times New Roman" w:hint="eastAsia"/>
          <w:sz w:val="24"/>
          <w:szCs w:val="24"/>
          <w:shd w:val="clear" w:color="auto" w:fill="FFFFFF"/>
          <w:lang w:val="en-US" w:eastAsia="zh-CN" w:bidi="ar-SA"/>
        </w:rPr>
        <w:t>.</w:t>
      </w:r>
      <w:r w:rsidRPr="00BB25DC">
        <w:rPr>
          <w:rStyle w:val="DefaultParagraphFont"/>
          <w:rFonts w:eastAsia="宋体" w:cs="Times New Roman"/>
          <w:sz w:val="24"/>
          <w:szCs w:val="24"/>
          <w:shd w:val="clear" w:color="auto" w:fill="FFFFFF"/>
          <w:lang w:val="en-US" w:eastAsia="zh-CN" w:bidi="ar-SA"/>
        </w:rPr>
        <w:t>6</w:t>
      </w:r>
      <w:r w:rsidRPr="00BB25DC">
        <w:rPr>
          <w:rStyle w:val="DefaultParagraphFont"/>
          <w:rFonts w:eastAsia="宋体" w:cs="Times New Roman" w:hint="eastAsia"/>
          <w:sz w:val="24"/>
          <w:szCs w:val="24"/>
          <w:shd w:val="clear" w:color="auto" w:fill="FFFFFF"/>
          <w:lang w:val="en-US" w:eastAsia="zh-CN" w:bidi="ar-SA"/>
        </w:rPr>
        <w:t xml:space="preserve"> 报告</w:t>
      </w:r>
      <w:r w:rsidRPr="00BB25DC">
        <w:rPr>
          <w:rStyle w:val="DefaultParagraphFont"/>
          <w:rFonts w:eastAsia="宋体" w:cs="Times New Roman"/>
          <w:sz w:val="24"/>
          <w:szCs w:val="24"/>
          <w:shd w:val="clear" w:color="auto" w:fill="FFFFFF"/>
          <w:lang w:val="en-US" w:eastAsia="zh-CN" w:bidi="ar-SA"/>
        </w:rPr>
        <w:t>期</w:t>
      </w:r>
      <w:r w:rsidRPr="00BB25DC">
        <w:rPr>
          <w:rStyle w:val="DefaultParagraphFont"/>
          <w:rFonts w:eastAsia="宋体" w:cs="Times New Roman" w:hint="eastAsia"/>
          <w:sz w:val="24"/>
          <w:szCs w:val="24"/>
          <w:shd w:val="clear" w:color="auto" w:fill="FFFFFF"/>
          <w:lang w:val="en-US" w:eastAsia="zh-CN" w:bidi="ar-SA"/>
        </w:rPr>
        <w:t>末商品及金融衍生</w:t>
      </w:r>
      <w:r w:rsidRPr="00BB25DC">
        <w:rPr>
          <w:rStyle w:val="DefaultParagraphFont"/>
          <w:rFonts w:eastAsia="宋体" w:cs="Times New Roman" w:hint="eastAsia"/>
          <w:sz w:val="24"/>
          <w:szCs w:val="24"/>
          <w:shd w:val="clear" w:color="auto" w:fill="FFFFFF"/>
          <w:lang w:val="en-US" w:eastAsia="zh-CN" w:bidi="ar-SA"/>
        </w:rPr>
        <w:t>品</w:t>
      </w:r>
      <w:r w:rsidRPr="00BB25DC">
        <w:rPr>
          <w:rStyle w:val="DefaultParagraphFont"/>
          <w:rFonts w:eastAsia="宋体" w:cs="Times New Roman"/>
          <w:sz w:val="24"/>
          <w:szCs w:val="24"/>
          <w:shd w:val="clear" w:color="auto" w:fill="FFFFFF"/>
          <w:lang w:val="en-US" w:eastAsia="zh-CN" w:bidi="ar-SA"/>
        </w:rPr>
        <w:t>资产</w:t>
      </w:r>
      <w:r w:rsidRPr="00BB25DC">
        <w:rPr>
          <w:rStyle w:val="DefaultParagraphFont"/>
          <w:rFonts w:eastAsia="宋体" w:cs="Times New Roman" w:hint="eastAsia"/>
          <w:sz w:val="24"/>
          <w:szCs w:val="24"/>
          <w:shd w:val="clear" w:color="auto" w:fill="FFFFFF"/>
          <w:lang w:val="en-US" w:eastAsia="zh-CN" w:bidi="ar-SA"/>
        </w:rPr>
        <w:t>信息</w:t>
      </w:r>
      <w:bookmarkEnd w:id="26"/>
    </w:p>
    <w:p w:rsidR="008B7BD8" w:rsidRPr="00E43FC7" w:rsidP="00BA42D8">
      <w:pPr>
        <w:pStyle w:val="Normal3"/>
        <w:ind w:firstLine="420" w:firstLineChars="200"/>
        <w:rPr>
          <w:rStyle w:val="DefaultParagraphFont"/>
          <w:rFonts w:ascii="宋体" w:eastAsia="宋体" w:hAnsi="宋体" w:cs="Times New Roman"/>
          <w:sz w:val="24"/>
          <w:shd w:val="clear" w:color="auto" w:fill="FFFFFF"/>
          <w:lang w:val="en-US" w:eastAsia="zh-CN" w:bidi="ar-SA"/>
        </w:rPr>
      </w:pPr>
      <w:r>
        <w:rPr>
          <w:rStyle w:val="DefaultParagraphFont"/>
          <w:rFonts w:ascii="宋体" w:eastAsia="宋体" w:hAnsi="宋体" w:cs="宋体"/>
          <w:b w:val="0"/>
          <w:color w:val="000000"/>
          <w:sz w:val="24"/>
          <w:lang w:val="en-US" w:eastAsia="zh-CN" w:bidi="ar-SA"/>
        </w:rPr>
        <w:t>无</w:t>
      </w:r>
    </w:p>
    <w:p w:rsidR="004B3394" w:rsidRPr="008B7BD8" w:rsidP="008B7BD8">
      <w:pPr>
        <w:pStyle w:val="Normal3"/>
        <w:rPr>
          <w:rStyle w:val="DefaultParagraphFont"/>
          <w:rFonts w:ascii="宋体" w:eastAsia="宋体" w:hAnsi="宋体" w:cs="Times New Roman"/>
          <w:lang w:val="en-US" w:eastAsia="zh-CN" w:bidi="ar-SA"/>
        </w:rPr>
      </w:pPr>
      <w:r>
        <w:rPr>
          <w:rStyle w:val="DefaultParagraphFont"/>
          <w:rFonts w:ascii="宋体" w:eastAsia="宋体" w:hAnsi="宋体" w:cs="宋体"/>
          <w:b w:val="0"/>
          <w:color w:val="000000"/>
          <w:lang w:val="en-US" w:eastAsia="zh-CN" w:bidi="ar-SA"/>
        </w:rPr>
        <w:t xml:space="preserve"> </w:t>
      </w:r>
    </w:p>
    <w:p w:rsidR="00B21928" w:rsidRPr="009A2C14" w:rsidP="009A2C14">
      <w:pPr>
        <w:pStyle w:val="Heading1"/>
        <w:jc w:val="center"/>
        <w:rPr>
          <w:rFonts w:ascii="宋体" w:hAnsi="宋体"/>
          <w:sz w:val="24"/>
          <w:szCs w:val="24"/>
          <w:shd w:val="clear" w:color="auto" w:fill="FFFFFF"/>
        </w:rPr>
      </w:pPr>
      <w:bookmarkStart w:id="27" w:name="_Toc256000017"/>
      <w:r w:rsidRPr="009A2C14">
        <w:rPr>
          <w:rFonts w:ascii="宋体" w:hAnsi="宋体" w:hint="eastAsia"/>
          <w:sz w:val="24"/>
          <w:szCs w:val="24"/>
          <w:shd w:val="clear" w:color="auto" w:fill="FFFFFF"/>
        </w:rPr>
        <w:t>§</w:t>
      </w:r>
      <w:r w:rsidRPr="009A2C14">
        <w:rPr>
          <w:rFonts w:ascii="宋体" w:hAnsi="宋体"/>
          <w:sz w:val="24"/>
          <w:szCs w:val="24"/>
          <w:shd w:val="clear" w:color="auto" w:fill="FFFFFF"/>
        </w:rPr>
        <w:t>6</w:t>
      </w:r>
      <w:r w:rsidRPr="009A2C14">
        <w:rPr>
          <w:rFonts w:ascii="宋体" w:hAnsi="宋体" w:hint="eastAsia"/>
          <w:sz w:val="24"/>
          <w:szCs w:val="24"/>
          <w:shd w:val="clear" w:color="auto" w:fill="FFFFFF"/>
        </w:rPr>
        <w:t xml:space="preserve"> 托管人报告</w:t>
      </w:r>
      <w:bookmarkEnd w:id="27"/>
    </w:p>
    <w:p w:rsidR="00B21928" w:rsidRPr="009A2C14" w:rsidP="009A2C14">
      <w:pPr>
        <w:pStyle w:val="Heading2"/>
        <w:rPr>
          <w:sz w:val="24"/>
          <w:szCs w:val="24"/>
          <w:shd w:val="clear" w:color="auto" w:fill="FFFFFF"/>
        </w:rPr>
      </w:pPr>
      <w:bookmarkStart w:id="28" w:name="_Toc256000018"/>
      <w:r w:rsidRPr="009A2C14">
        <w:rPr>
          <w:sz w:val="24"/>
          <w:szCs w:val="24"/>
          <w:shd w:val="clear" w:color="auto" w:fill="FFFFFF"/>
        </w:rPr>
        <w:t>6</w:t>
      </w:r>
      <w:r w:rsidRPr="009A2C14">
        <w:rPr>
          <w:rFonts w:hint="eastAsia"/>
          <w:sz w:val="24"/>
          <w:szCs w:val="24"/>
          <w:shd w:val="clear" w:color="auto" w:fill="FFFFFF"/>
        </w:rPr>
        <w:t>.1 托管人报告</w:t>
      </w:r>
      <w:bookmarkEnd w:id="28"/>
    </w:p>
    <w:p w:rsidR="00114C66" w:rsidP="00114C66">
      <w:pPr>
        <w:ind w:firstLine="420" w:firstLineChars="200"/>
        <w:rPr>
          <w:rFonts w:ascii="宋体" w:hAnsi="宋体"/>
          <w:sz w:val="24"/>
          <w:szCs w:val="24"/>
          <w:shd w:val="clear" w:color="auto" w:fill="FFFFFF"/>
        </w:rPr>
      </w:pPr>
      <w:r>
        <w:rPr>
          <w:rFonts w:ascii="宋体" w:hAnsi="宋体" w:hint="eastAsia"/>
          <w:sz w:val="24"/>
          <w:szCs w:val="24"/>
          <w:shd w:val="clear" w:color="auto" w:fill="FFFFFF"/>
        </w:rPr>
        <w:t>6.1.1托管人履职情况</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（一）托管资产保管</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资产独立于托管人的自有资产及其托管的其他资产，不同投资账户之间的托管资产之间互相独立。托管人按照监管相关规定，完整保存与托管资产有关的会计档案、与托管资产有关的投资记录、指令和合同等。</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（二）会计核算和估值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托管人按照与管理人在托管协议中约定的统一记账方法和会计处理原则，独立地设置、登录和保管本产品的全套账册，进行会计核算和资产估值。</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（三）定期核对有关数据</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托管人根据托管协议约定与管理人定期进行账务核对。</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（四）投资监督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托管人根据法规、托管协议以及双方约定的投资监督条款，对投资运作情况进行监督。</w:t>
      </w:r>
    </w:p>
    <w:p w:rsidR="00114C66" w:rsidP="00114C66">
      <w:pPr>
        <w:ind w:firstLine="420" w:firstLineChars="200"/>
        <w:rPr>
          <w:rFonts w:ascii="宋体" w:hAnsi="宋体" w:hint="eastAsia"/>
          <w:sz w:val="24"/>
          <w:szCs w:val="24"/>
          <w:shd w:val="clear" w:color="auto" w:fill="FFFFFF"/>
        </w:rPr>
      </w:pPr>
      <w:r>
        <w:rPr>
          <w:rFonts w:ascii="宋体" w:hAnsi="宋体" w:hint="eastAsia"/>
          <w:sz w:val="24"/>
          <w:szCs w:val="24"/>
          <w:shd w:val="clear" w:color="auto" w:fill="FFFFFF"/>
        </w:rPr>
        <w:t>6.1.2托管人声明</w:t>
      </w:r>
    </w:p>
    <w:p w:rsidR="00B21928" w:rsidRPr="00114C66" w:rsidP="00114C66">
      <w:pPr>
        <w:ind w:firstLine="420" w:firstLineChars="200"/>
        <w:rPr>
          <w:rFonts w:ascii="宋体" w:hAnsi="宋体"/>
          <w:sz w:val="24"/>
          <w:szCs w:val="24"/>
          <w:shd w:val="clear" w:color="auto" w:fill="FFFFFF"/>
        </w:rPr>
      </w:pPr>
      <w:bookmarkStart w:id="29" w:name="_GoBack"/>
      <w:bookmarkEnd w:id="29"/>
      <w:r>
        <w:rPr>
          <w:rFonts w:ascii="宋体" w:hAnsi="宋体" w:hint="eastAsia"/>
          <w:sz w:val="24"/>
          <w:szCs w:val="24"/>
          <w:shd w:val="clear" w:color="auto" w:fill="FFFFFF"/>
        </w:rPr>
        <w:t>托管人具备完善的公司治理结构、内部稽核监控制度和风险控制制度，托管人在本产品托管的过程中，严格遵守有关法律法规、托管协议的规定，尽职尽责地履行托管义</w:t>
      </w:r>
      <w:r>
        <w:rPr>
          <w:rFonts w:ascii="宋体" w:hAnsi="宋体" w:hint="eastAsia"/>
          <w:sz w:val="24"/>
          <w:szCs w:val="24"/>
          <w:shd w:val="clear" w:color="auto" w:fill="FFFFFF"/>
        </w:rPr>
        <w:t>务并安全保管托管资产。</w:t>
      </w:r>
    </w:p>
    <w:p w:rsidR="00E215B9" w:rsidP="00757F82"/>
    <w:p w:rsidR="008D77ED" w:rsidRPr="009A2C14" w:rsidP="008D77ED">
      <w:pPr>
        <w:jc w:val="right"/>
        <w:rPr>
          <w:rFonts w:ascii="宋体" w:hAnsi="宋体"/>
          <w:sz w:val="24"/>
          <w:szCs w:val="24"/>
        </w:rPr>
      </w:pPr>
      <w:r w:rsidRPr="009A2C14">
        <w:rPr>
          <w:sz w:val="24"/>
          <w:szCs w:val="24"/>
        </w:rPr>
        <w:t xml:space="preserve"> </w:t>
      </w:r>
      <w:r>
        <w:rPr>
          <w:rFonts w:ascii="宋体" w:eastAsia="宋体" w:hAnsi="宋体" w:cs="宋体"/>
          <w:b w:val="0"/>
          <w:i w:val="0"/>
          <w:color w:val="000000"/>
          <w:position w:val="-1"/>
          <w:sz w:val="24"/>
          <w:u w:val="none"/>
        </w:rPr>
        <w:t>招银理财有限责任公司</w:t>
      </w:r>
    </w:p>
    <w:p w:rsidR="00E35DF7" w:rsidRPr="009A2C14" w:rsidP="008D77ED">
      <w:pPr>
        <w:jc w:val="right"/>
        <w:rPr>
          <w:rFonts w:ascii="宋体" w:hAnsi="宋体"/>
          <w:sz w:val="24"/>
          <w:szCs w:val="24"/>
        </w:rPr>
      </w:pPr>
      <w:r>
        <w:rPr>
          <w:rFonts w:ascii="宋体" w:eastAsia="宋体" w:hAnsi="宋体" w:cs="宋体"/>
          <w:b w:val="0"/>
          <w:i w:val="0"/>
          <w:color w:val="000000"/>
          <w:position w:val="-1"/>
          <w:sz w:val="24"/>
          <w:u w:val="none"/>
        </w:rPr>
        <w:t>2024年12月31日</w:t>
      </w:r>
    </w:p>
    <w:sectPr w:rsidSect="001C68D8">
      <w:headerReference w:type="default" r:id="rId5"/>
      <w:footerReference w:type="even" r:id="rId6"/>
      <w:footerReference w:type="default" r:id="rId7"/>
      <w:pgSz w:w="11906" w:h="16838"/>
      <w:pgMar w:top="1440" w:right="1418" w:bottom="1440" w:left="1418" w:header="851" w:footer="56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彩虹小标宋">
    <w:altName w:val="微软雅黑"/>
    <w:charset w:val="86"/>
    <w:family w:val="script"/>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pPr>
      <w:pStyle w:val="Footer"/>
      <w:framePr w:h="0" w:hRule="atLeast"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B326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P="008A10D2">
    <w:pPr>
      <w:pStyle w:val="Footer"/>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10</w:t>
    </w:r>
    <w:r>
      <w:rPr>
        <w:b/>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32687" w:rsidRPr="00BF4CF6" w:rsidP="00BF4CF6">
    <w:pPr>
      <w:pStyle w:val="Header"/>
      <w:jc w:val="left"/>
    </w:pPr>
    <w:r>
      <w:rPr>
        <w:rFonts w:ascii="宋体" w:eastAsia="宋体" w:hAnsi="宋体" w:cs="宋体"/>
        <w:b w:val="0"/>
        <w:i w:val="0"/>
        <w:color w:val="000000"/>
        <w:position w:val="-1"/>
        <w:u w:val="none"/>
      </w:rPr>
      <w:t>招银理财招睿活钱管家（添金）2号固定收益类理财计划2024年年度</w:t>
    </w:r>
    <w:r w:rsidR="00536C4E">
      <w:rPr>
        <w:rFonts w:ascii="宋体" w:hAnsi="宋体" w:hint="eastAsia"/>
      </w:rPr>
      <w:t>报告（产品</w:t>
    </w:r>
    <w:r w:rsidRPr="00BF4CF6">
      <w:rPr>
        <w:rFonts w:ascii="宋体" w:hAnsi="宋体" w:hint="eastAsia"/>
      </w:rPr>
      <w:t>代码：</w:t>
    </w:r>
    <w:r>
      <w:rPr>
        <w:rFonts w:ascii="宋体" w:eastAsia="宋体" w:hAnsi="宋体" w:cs="宋体"/>
        <w:b w:val="0"/>
        <w:i w:val="0"/>
        <w:color w:val="000000"/>
        <w:position w:val="-1"/>
        <w:u w:val="none"/>
      </w:rPr>
      <w:t>100903</w:t>
    </w:r>
    <w:r w:rsidRPr="00BF4CF6">
      <w:rPr>
        <w:rFonts w:ascii="宋体" w:hAnsi="宋体"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2"/>
    <w:multiLevelType w:val="multilevel"/>
    <w:tmpl w:val="00000002"/>
    <w:lvl w:ilvl="0">
      <w:start w:val="1"/>
      <w:numFmt w:val="decimal"/>
      <w:pStyle w:val="115"/>
      <w:lvlText w:val="%1）"/>
      <w:lvlJc w:val="left"/>
      <w:pPr>
        <w:tabs>
          <w:tab w:val="num" w:pos="360"/>
        </w:tabs>
        <w:ind w:left="360" w:hanging="360"/>
      </w:pPr>
      <w:rPr>
        <w:rFonts w:hint="default"/>
      </w:rPr>
    </w:lvl>
    <w:lvl w:ilvl="1">
      <w:start w:val="1"/>
      <w:numFmt w:val="lowerLetter"/>
      <w:pStyle w:val="2111111"/>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pStyle w:val="CharCharCharCharCharCharCharCharChar"/>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
    <w:nsid w:val="051114A2"/>
    <w:multiLevelType w:val="multilevel"/>
    <w:tmpl w:val="051114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5AE0390"/>
    <w:multiLevelType w:val="hybridMultilevel"/>
    <w:tmpl w:val="ED961BE0"/>
    <w:lvl w:ilvl="0">
      <w:start w:val="1"/>
      <w:numFmt w:val="decimalEnclosedCircle"/>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07230AF3"/>
    <w:multiLevelType w:val="hybridMultilevel"/>
    <w:tmpl w:val="6EC041A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103A36CE"/>
    <w:multiLevelType w:val="hybridMultilevel"/>
    <w:tmpl w:val="FBCEA0E4"/>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10F41FCB"/>
    <w:multiLevelType w:val="hybridMultilevel"/>
    <w:tmpl w:val="9D64A39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11D5526B"/>
    <w:multiLevelType w:val="hybridMultilevel"/>
    <w:tmpl w:val="4B22F04A"/>
    <w:lvl w:ilvl="0">
      <w:start w:val="1"/>
      <w:numFmt w:val="lowerLetter"/>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1CBE6AA2"/>
    <w:multiLevelType w:val="hybridMultilevel"/>
    <w:tmpl w:val="2E2E253C"/>
    <w:lvl w:ilvl="0">
      <w:start w:val="1"/>
      <w:numFmt w:val="japaneseCounting"/>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nsid w:val="2E8D0ABB"/>
    <w:multiLevelType w:val="hybridMultilevel"/>
    <w:tmpl w:val="3366504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321C1DE2"/>
    <w:multiLevelType w:val="hybridMultilevel"/>
    <w:tmpl w:val="22265DCE"/>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nsid w:val="3ADF2A51"/>
    <w:multiLevelType w:val="hybridMultilevel"/>
    <w:tmpl w:val="29C617B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4C0F2D0C"/>
    <w:multiLevelType w:val="hybridMultilevel"/>
    <w:tmpl w:val="A38A8BA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4F4C6682"/>
    <w:multiLevelType w:val="hybridMultilevel"/>
    <w:tmpl w:val="68726F16"/>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
    <w:nsid w:val="534A7AFE"/>
    <w:multiLevelType w:val="hybridMultilevel"/>
    <w:tmpl w:val="95F09A60"/>
    <w:lvl w:ilvl="0">
      <w:start w:val="1"/>
      <w:numFmt w:val="decimal"/>
      <w:lvlText w:val="%1、"/>
      <w:lvlJc w:val="left"/>
      <w:pPr>
        <w:ind w:left="786" w:hanging="360"/>
      </w:pPr>
      <w:rPr>
        <w:rFonts w:hint="default"/>
      </w:rPr>
    </w:lvl>
    <w:lvl w:ilvl="1" w:tentative="1">
      <w:start w:val="1"/>
      <w:numFmt w:val="lowerLetter"/>
      <w:lvlText w:val="%2)"/>
      <w:lvlJc w:val="left"/>
      <w:pPr>
        <w:ind w:left="1266" w:hanging="420"/>
      </w:pPr>
    </w:lvl>
    <w:lvl w:ilvl="2" w:tentative="1">
      <w:start w:val="1"/>
      <w:numFmt w:val="lowerRoman"/>
      <w:lvlText w:val="%3."/>
      <w:lvlJc w:val="right"/>
      <w:pPr>
        <w:ind w:left="1686" w:hanging="420"/>
      </w:pPr>
    </w:lvl>
    <w:lvl w:ilvl="3" w:tentative="1">
      <w:start w:val="1"/>
      <w:numFmt w:val="decimal"/>
      <w:lvlText w:val="%4."/>
      <w:lvlJc w:val="left"/>
      <w:pPr>
        <w:ind w:left="2106" w:hanging="420"/>
      </w:pPr>
    </w:lvl>
    <w:lvl w:ilvl="4" w:tentative="1">
      <w:start w:val="1"/>
      <w:numFmt w:val="lowerLetter"/>
      <w:lvlText w:val="%5)"/>
      <w:lvlJc w:val="left"/>
      <w:pPr>
        <w:ind w:left="2526" w:hanging="420"/>
      </w:pPr>
    </w:lvl>
    <w:lvl w:ilvl="5" w:tentative="1">
      <w:start w:val="1"/>
      <w:numFmt w:val="lowerRoman"/>
      <w:lvlText w:val="%6."/>
      <w:lvlJc w:val="right"/>
      <w:pPr>
        <w:ind w:left="2946" w:hanging="420"/>
      </w:pPr>
    </w:lvl>
    <w:lvl w:ilvl="6" w:tentative="1">
      <w:start w:val="1"/>
      <w:numFmt w:val="decimal"/>
      <w:lvlText w:val="%7."/>
      <w:lvlJc w:val="left"/>
      <w:pPr>
        <w:ind w:left="3366" w:hanging="420"/>
      </w:pPr>
    </w:lvl>
    <w:lvl w:ilvl="7" w:tentative="1">
      <w:start w:val="1"/>
      <w:numFmt w:val="lowerLetter"/>
      <w:lvlText w:val="%8)"/>
      <w:lvlJc w:val="left"/>
      <w:pPr>
        <w:ind w:left="3786" w:hanging="420"/>
      </w:pPr>
    </w:lvl>
    <w:lvl w:ilvl="8" w:tentative="1">
      <w:start w:val="1"/>
      <w:numFmt w:val="lowerRoman"/>
      <w:lvlText w:val="%9."/>
      <w:lvlJc w:val="right"/>
      <w:pPr>
        <w:ind w:left="4206" w:hanging="420"/>
      </w:pPr>
    </w:lvl>
  </w:abstractNum>
  <w:abstractNum w:abstractNumId="15">
    <w:nsid w:val="65D27ECA"/>
    <w:multiLevelType w:val="hybridMultilevel"/>
    <w:tmpl w:val="923A27BC"/>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7"/>
  </w:num>
  <w:num w:numId="4">
    <w:abstractNumId w:val="2"/>
  </w:num>
  <w:num w:numId="5">
    <w:abstractNumId w:val="8"/>
  </w:num>
  <w:num w:numId="6">
    <w:abstractNumId w:val="3"/>
  </w:num>
  <w:num w:numId="7">
    <w:abstractNumId w:val="5"/>
  </w:num>
  <w:num w:numId="8">
    <w:abstractNumId w:val="15"/>
  </w:num>
  <w:num w:numId="9">
    <w:abstractNumId w:val="14"/>
  </w:num>
  <w:num w:numId="10">
    <w:abstractNumId w:val="11"/>
  </w:num>
  <w:num w:numId="11">
    <w:abstractNumId w:val="13"/>
  </w:num>
  <w:num w:numId="12">
    <w:abstractNumId w:val="12"/>
  </w:num>
  <w:num w:numId="13">
    <w:abstractNumId w:val="9"/>
  </w:num>
  <w:num w:numId="14">
    <w:abstractNumId w:val="4"/>
  </w:num>
  <w:num w:numId="15">
    <w:abstractNumId w:val="1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C4F90"/>
    <w:pPr>
      <w:widowControl w:val="0"/>
      <w:jc w:val="both"/>
    </w:pPr>
    <w:rPr>
      <w:kern w:val="2"/>
      <w:sz w:val="21"/>
    </w:rPr>
  </w:style>
  <w:style w:type="paragraph" w:styleId="Heading1">
    <w:name w:val="heading 1"/>
    <w:basedOn w:val="Normal"/>
    <w:next w:val="Normal"/>
    <w:link w:val="10"/>
    <w:qFormat/>
    <w:rsid w:val="00AC4F90"/>
    <w:pPr>
      <w:keepNext/>
      <w:keepLines/>
      <w:spacing w:before="340" w:after="330" w:line="576" w:lineRule="auto"/>
      <w:outlineLvl w:val="0"/>
    </w:pPr>
    <w:rPr>
      <w:b/>
      <w:kern w:val="44"/>
      <w:sz w:val="44"/>
    </w:rPr>
  </w:style>
  <w:style w:type="paragraph" w:styleId="Heading2">
    <w:name w:val="heading 2"/>
    <w:basedOn w:val="Normal"/>
    <w:next w:val="Normal"/>
    <w:link w:val="2"/>
    <w:qFormat/>
    <w:rsid w:val="003F7FB0"/>
    <w:pPr>
      <w:keepNext/>
      <w:keepLines/>
      <w:spacing w:before="260" w:after="260" w:line="413" w:lineRule="auto"/>
      <w:outlineLvl w:val="1"/>
    </w:pPr>
    <w:rPr>
      <w:rFonts w:ascii="宋体" w:hAnsi="宋体"/>
      <w:b/>
      <w:sz w:val="26"/>
    </w:rPr>
  </w:style>
  <w:style w:type="paragraph" w:styleId="Heading3">
    <w:name w:val="heading 3"/>
    <w:basedOn w:val="Normal"/>
    <w:next w:val="Normal"/>
    <w:link w:val="30"/>
    <w:qFormat/>
    <w:rsid w:val="003F7FB0"/>
    <w:pPr>
      <w:keepNext/>
      <w:keepLines/>
      <w:spacing w:before="260" w:after="260" w:line="413" w:lineRule="auto"/>
      <w:outlineLvl w:val="2"/>
    </w:pPr>
    <w:rPr>
      <w:rFonts w:ascii="宋体" w:hAnsi="宋体"/>
      <w:b/>
      <w:sz w:val="26"/>
    </w:rPr>
  </w:style>
  <w:style w:type="paragraph" w:styleId="Heading4">
    <w:name w:val="heading 4"/>
    <w:basedOn w:val="Normal"/>
    <w:next w:val="Normal"/>
    <w:qFormat/>
    <w:rsid w:val="00AC4F90"/>
    <w:pPr>
      <w:keepNext/>
      <w:keepLines/>
      <w:spacing w:before="280" w:after="290" w:line="372" w:lineRule="auto"/>
      <w:outlineLvl w:val="3"/>
    </w:pPr>
    <w:rPr>
      <w:rFonts w:ascii="Arial" w:eastAsia="黑体" w:hAnsi="Arial"/>
      <w:b/>
      <w:sz w:val="28"/>
    </w:rPr>
  </w:style>
  <w:style w:type="paragraph" w:styleId="Heading5">
    <w:name w:val="heading 5"/>
    <w:basedOn w:val="Normal"/>
    <w:next w:val="Normal"/>
    <w:qFormat/>
    <w:rsid w:val="00AC4F90"/>
    <w:pPr>
      <w:keepNext/>
      <w:keepLines/>
      <w:spacing w:before="280" w:after="290" w:line="372" w:lineRule="auto"/>
      <w:outlineLvl w:val="4"/>
    </w:pPr>
    <w:rPr>
      <w:b/>
      <w:sz w:val="28"/>
    </w:rPr>
  </w:style>
  <w:style w:type="paragraph" w:styleId="Heading6">
    <w:name w:val="heading 6"/>
    <w:basedOn w:val="Normal"/>
    <w:next w:val="Normal"/>
    <w:qFormat/>
    <w:rsid w:val="00AC4F90"/>
    <w:pPr>
      <w:keepNext/>
      <w:keepLines/>
      <w:spacing w:before="240" w:after="64" w:line="317" w:lineRule="auto"/>
      <w:ind w:left="851" w:firstLine="200" w:firstLineChars="200"/>
      <w:outlineLvl w:val="5"/>
    </w:pPr>
    <w:rPr>
      <w:rFonts w:ascii="Arial" w:eastAsia="黑体" w:hAnsi="Arial"/>
      <w:b/>
      <w:sz w:val="24"/>
    </w:rPr>
  </w:style>
  <w:style w:type="paragraph" w:styleId="Heading7">
    <w:name w:val="heading 7"/>
    <w:basedOn w:val="Normal"/>
    <w:next w:val="Normal"/>
    <w:qFormat/>
    <w:rsid w:val="00AC4F90"/>
    <w:pPr>
      <w:keepNext/>
      <w:keepLines/>
      <w:spacing w:before="240" w:after="64" w:line="317" w:lineRule="auto"/>
      <w:ind w:left="851" w:firstLine="200" w:firstLineChars="200"/>
      <w:outlineLvl w:val="6"/>
    </w:pPr>
    <w:rPr>
      <w:b/>
      <w:sz w:val="24"/>
    </w:rPr>
  </w:style>
  <w:style w:type="paragraph" w:styleId="Heading8">
    <w:name w:val="heading 8"/>
    <w:basedOn w:val="Normal"/>
    <w:next w:val="Normal"/>
    <w:qFormat/>
    <w:rsid w:val="00AC4F90"/>
    <w:pPr>
      <w:keepNext/>
      <w:keepLines/>
      <w:spacing w:before="240" w:after="64" w:line="317" w:lineRule="auto"/>
      <w:ind w:left="851" w:firstLine="200" w:firstLineChars="200"/>
      <w:outlineLvl w:val="7"/>
    </w:pPr>
    <w:rPr>
      <w:rFonts w:ascii="Arial" w:eastAsia="黑体" w:hAnsi="Arial"/>
      <w:sz w:val="24"/>
    </w:rPr>
  </w:style>
  <w:style w:type="paragraph" w:styleId="Heading9">
    <w:name w:val="heading 9"/>
    <w:basedOn w:val="Normal"/>
    <w:next w:val="Normal"/>
    <w:qFormat/>
    <w:rsid w:val="00AC4F90"/>
    <w:pPr>
      <w:keepNext/>
      <w:keepLines/>
      <w:spacing w:before="240" w:after="64" w:line="317" w:lineRule="auto"/>
      <w:ind w:left="851" w:firstLine="200" w:firstLineChars="200"/>
      <w:outlineLvl w:val="8"/>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正文文本 字符"/>
    <w:link w:val="BodyText"/>
    <w:rsid w:val="00AC4F90"/>
    <w:rPr>
      <w:rFonts w:ascii="仿宋_GB2312" w:eastAsia="仿宋_GB2312"/>
      <w:sz w:val="28"/>
      <w:lang w:val="en-US" w:eastAsia="zh-CN"/>
    </w:rPr>
  </w:style>
  <w:style w:type="character" w:customStyle="1" w:styleId="2CharCharChar">
    <w:name w:val="标题 2 Char Char Char"/>
    <w:rsid w:val="00AC4F90"/>
    <w:rPr>
      <w:rFonts w:ascii="Arial" w:eastAsia="宋体" w:hAnsi="Arial"/>
      <w:b/>
      <w:kern w:val="2"/>
      <w:sz w:val="28"/>
      <w:lang w:val="en-US" w:eastAsia="zh-CN"/>
    </w:rPr>
  </w:style>
  <w:style w:type="character" w:customStyle="1" w:styleId="a0">
    <w:name w:val="批注文字 字符"/>
    <w:link w:val="CommentText"/>
    <w:uiPriority w:val="99"/>
    <w:qFormat/>
    <w:rsid w:val="00AC4F90"/>
    <w:rPr>
      <w:rFonts w:eastAsia="宋体"/>
      <w:kern w:val="2"/>
      <w:sz w:val="21"/>
      <w:lang w:val="en-US" w:eastAsia="zh-CN"/>
    </w:rPr>
  </w:style>
  <w:style w:type="character" w:styleId="FootnoteReference">
    <w:name w:val="footnote reference"/>
    <w:uiPriority w:val="99"/>
    <w:rsid w:val="00AC4F90"/>
    <w:rPr>
      <w:vertAlign w:val="superscript"/>
    </w:rPr>
  </w:style>
  <w:style w:type="character" w:customStyle="1" w:styleId="a1">
    <w:name w:val="已访问的超链接"/>
    <w:rsid w:val="00AC4F90"/>
    <w:rPr>
      <w:color w:val="800080"/>
      <w:u w:val="single"/>
    </w:rPr>
  </w:style>
  <w:style w:type="character" w:customStyle="1" w:styleId="afont1">
    <w:name w:val="afont1"/>
    <w:rsid w:val="00AC4F90"/>
    <w:rPr>
      <w:rFonts w:ascii="Arial Narrow" w:hAnsi="Arial Narrow" w:hint="default"/>
      <w:sz w:val="21"/>
    </w:rPr>
  </w:style>
  <w:style w:type="character" w:styleId="Hyperlink">
    <w:name w:val="Hyperlink"/>
    <w:uiPriority w:val="99"/>
    <w:rsid w:val="00AC4F90"/>
    <w:rPr>
      <w:color w:val="0000FF"/>
      <w:u w:val="single"/>
    </w:rPr>
  </w:style>
  <w:style w:type="character" w:customStyle="1" w:styleId="2">
    <w:name w:val="标题 2 字符"/>
    <w:link w:val="Heading2"/>
    <w:rsid w:val="003F7FB0"/>
    <w:rPr>
      <w:rFonts w:ascii="宋体" w:hAnsi="宋体"/>
      <w:b/>
      <w:kern w:val="2"/>
      <w:sz w:val="26"/>
    </w:rPr>
  </w:style>
  <w:style w:type="character" w:styleId="PageNumber">
    <w:name w:val="page number"/>
    <w:basedOn w:val="DefaultParagraphFont"/>
    <w:rsid w:val="00AC4F90"/>
  </w:style>
  <w:style w:type="character" w:customStyle="1" w:styleId="CharCharCharCharCharCharCharChar">
    <w:name w:val="正文文字 Char Char Char Char Char Char Char Char"/>
    <w:aliases w:val="正文文本1,正文文本2,正文文本3"/>
    <w:rsid w:val="00AC4F90"/>
    <w:rPr>
      <w:rFonts w:ascii="仿宋_GB2312" w:eastAsia="仿宋_GB2312"/>
      <w:sz w:val="28"/>
      <w:lang w:val="en-US" w:eastAsia="zh-CN"/>
    </w:rPr>
  </w:style>
  <w:style w:type="character" w:styleId="Strong">
    <w:name w:val="Strong"/>
    <w:uiPriority w:val="22"/>
    <w:qFormat/>
    <w:rsid w:val="00AC4F90"/>
    <w:rPr>
      <w:b/>
    </w:rPr>
  </w:style>
  <w:style w:type="character" w:styleId="CommentReference">
    <w:name w:val="annotation reference"/>
    <w:uiPriority w:val="99"/>
    <w:rsid w:val="00AC4F90"/>
    <w:rPr>
      <w:sz w:val="21"/>
    </w:rPr>
  </w:style>
  <w:style w:type="paragraph" w:styleId="DocumentMap">
    <w:name w:val="Document Map"/>
    <w:basedOn w:val="Normal"/>
    <w:rsid w:val="00AC4F90"/>
    <w:pPr>
      <w:shd w:val="clear" w:color="auto" w:fill="000080"/>
    </w:pPr>
  </w:style>
  <w:style w:type="paragraph" w:styleId="BalloonText">
    <w:name w:val="Balloon Text"/>
    <w:basedOn w:val="Normal"/>
    <w:rsid w:val="00AC4F90"/>
    <w:rPr>
      <w:sz w:val="18"/>
    </w:rPr>
  </w:style>
  <w:style w:type="paragraph" w:customStyle="1" w:styleId="115">
    <w:name w:val="样式 标题 1 + 段前: 1.5 行"/>
    <w:basedOn w:val="Normal"/>
    <w:rsid w:val="00AC4F90"/>
    <w:pPr>
      <w:numPr>
        <w:numId w:val="1"/>
      </w:numPr>
      <w:tabs>
        <w:tab w:val="left" w:pos="360"/>
      </w:tabs>
    </w:pPr>
    <w:rPr>
      <w:sz w:val="24"/>
    </w:rPr>
  </w:style>
  <w:style w:type="paragraph" w:customStyle="1" w:styleId="CharChar2">
    <w:name w:val="Char Char2"/>
    <w:basedOn w:val="Normal"/>
    <w:rsid w:val="00AC4F90"/>
    <w:pPr>
      <w:autoSpaceDE w:val="0"/>
      <w:autoSpaceDN w:val="0"/>
      <w:adjustRightInd w:val="0"/>
      <w:jc w:val="left"/>
      <w:textAlignment w:val="baseline"/>
    </w:pPr>
    <w:rPr>
      <w:rFonts w:ascii="宋体"/>
      <w:kern w:val="0"/>
      <w:sz w:val="34"/>
    </w:rPr>
  </w:style>
  <w:style w:type="paragraph" w:customStyle="1" w:styleId="xl33">
    <w:name w:val="xl33"/>
    <w:basedOn w:val="Normal"/>
    <w:rsid w:val="00AC4F90"/>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
    <w:name w:val="Char"/>
    <w:basedOn w:val="Normal"/>
    <w:rsid w:val="00AC4F90"/>
  </w:style>
  <w:style w:type="paragraph" w:customStyle="1" w:styleId="a2">
    <w:name w:val="简单回函地址"/>
    <w:basedOn w:val="Normal"/>
    <w:rsid w:val="00AC4F90"/>
  </w:style>
  <w:style w:type="paragraph" w:styleId="NormalWeb">
    <w:name w:val="Normal (Web)"/>
    <w:basedOn w:val="Normal"/>
    <w:uiPriority w:val="99"/>
    <w:rsid w:val="00AC4F90"/>
    <w:pPr>
      <w:widowControl/>
      <w:spacing w:before="100" w:beforeAutospacing="1" w:after="100" w:afterAutospacing="1"/>
      <w:jc w:val="left"/>
    </w:pPr>
    <w:rPr>
      <w:rFonts w:ascii="宋体" w:hAnsi="宋体"/>
      <w:kern w:val="0"/>
      <w:sz w:val="24"/>
    </w:rPr>
  </w:style>
  <w:style w:type="paragraph" w:styleId="TOC1">
    <w:name w:val="toc 1"/>
    <w:basedOn w:val="Normal"/>
    <w:next w:val="Normal"/>
    <w:uiPriority w:val="39"/>
    <w:rsid w:val="00AC4F90"/>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AC4F90"/>
    <w:pPr>
      <w:widowControl/>
      <w:spacing w:after="160" w:line="240" w:lineRule="exact"/>
      <w:jc w:val="left"/>
    </w:pPr>
    <w:rPr>
      <w:rFonts w:ascii="Verdana" w:eastAsia="Times New Roman" w:hAnsi="Verdana"/>
      <w:kern w:val="0"/>
      <w:sz w:val="20"/>
      <w:lang w:eastAsia="en-US"/>
    </w:rPr>
  </w:style>
  <w:style w:type="paragraph" w:customStyle="1" w:styleId="CharCharCharChar">
    <w:name w:val="Char Char Char Char"/>
    <w:basedOn w:val="Normal"/>
    <w:rsid w:val="00AC4F90"/>
    <w:pPr>
      <w:tabs>
        <w:tab w:val="left" w:pos="840"/>
      </w:tabs>
      <w:adjustRightInd w:val="0"/>
      <w:spacing w:line="360" w:lineRule="atLeast"/>
      <w:ind w:left="840" w:hanging="360"/>
      <w:textAlignment w:val="baseline"/>
    </w:pPr>
    <w:rPr>
      <w:sz w:val="24"/>
    </w:rPr>
  </w:style>
  <w:style w:type="paragraph" w:customStyle="1" w:styleId="Style22">
    <w:name w:val="_Style 22"/>
    <w:basedOn w:val="Normal"/>
    <w:rsid w:val="00AC4F90"/>
    <w:pPr>
      <w:autoSpaceDE w:val="0"/>
      <w:autoSpaceDN w:val="0"/>
      <w:adjustRightInd w:val="0"/>
      <w:jc w:val="left"/>
      <w:textAlignment w:val="baseline"/>
    </w:pPr>
  </w:style>
  <w:style w:type="paragraph" w:customStyle="1" w:styleId="FormLabel">
    <w:name w:val="Form Label"/>
    <w:basedOn w:val="Normal"/>
    <w:rsid w:val="00AC4F90"/>
    <w:pPr>
      <w:widowControl/>
      <w:spacing w:line="280" w:lineRule="exact"/>
      <w:jc w:val="left"/>
    </w:pPr>
    <w:rPr>
      <w:kern w:val="0"/>
      <w:sz w:val="18"/>
      <w:lang w:val="en-GB" w:eastAsia="en-US"/>
    </w:rPr>
  </w:style>
  <w:style w:type="paragraph" w:customStyle="1" w:styleId="CharCharCharCharCharCharCharCharChar">
    <w:name w:val="Char Char Char Char Char Char Char Char Char"/>
    <w:basedOn w:val="Normal"/>
    <w:rsid w:val="00AC4F90"/>
    <w:pPr>
      <w:numPr>
        <w:numId w:val="2"/>
      </w:numPr>
      <w:tabs>
        <w:tab w:val="left" w:pos="780"/>
      </w:tabs>
    </w:pPr>
    <w:rPr>
      <w:sz w:val="24"/>
    </w:rPr>
  </w:style>
  <w:style w:type="paragraph" w:customStyle="1" w:styleId="Char1CharCharCharChar">
    <w:name w:val="Char1 Char Char Char Char"/>
    <w:basedOn w:val="Normal"/>
    <w:rsid w:val="00AC4F90"/>
    <w:pPr>
      <w:widowControl/>
      <w:spacing w:after="160" w:line="240" w:lineRule="exact"/>
      <w:jc w:val="left"/>
    </w:pPr>
    <w:rPr>
      <w:rFonts w:ascii="Verdana" w:hAnsi="Verdana"/>
      <w:kern w:val="0"/>
      <w:sz w:val="20"/>
      <w:lang w:eastAsia="en-US"/>
    </w:rPr>
  </w:style>
  <w:style w:type="paragraph" w:customStyle="1" w:styleId="CharCharCharCharCharChar1CharCharChar">
    <w:name w:val="Char Char Char Char Char Char1 Char Char Char"/>
    <w:basedOn w:val="Normal"/>
    <w:rsid w:val="00AC4F90"/>
    <w:pPr>
      <w:autoSpaceDE w:val="0"/>
      <w:autoSpaceDN w:val="0"/>
      <w:adjustRightInd w:val="0"/>
      <w:jc w:val="left"/>
      <w:textAlignment w:val="baseline"/>
    </w:pPr>
    <w:rPr>
      <w:rFonts w:ascii="宋体"/>
      <w:kern w:val="0"/>
      <w:sz w:val="34"/>
    </w:rPr>
  </w:style>
  <w:style w:type="paragraph" w:styleId="CommentSubject">
    <w:name w:val="annotation subject"/>
    <w:basedOn w:val="CommentText"/>
    <w:next w:val="CommentText"/>
    <w:rsid w:val="00AC4F90"/>
    <w:rPr>
      <w:b/>
    </w:rPr>
  </w:style>
  <w:style w:type="paragraph" w:styleId="BodyText2">
    <w:name w:val="Body Text 2"/>
    <w:basedOn w:val="Normal"/>
    <w:rsid w:val="00AC4F90"/>
    <w:pPr>
      <w:spacing w:after="120" w:line="480" w:lineRule="auto"/>
    </w:pPr>
  </w:style>
  <w:style w:type="paragraph" w:customStyle="1" w:styleId="2111111">
    <w:name w:val="样式 样式 样式 标题 2 + 段前: 1 行 段后: 1 行1 + 段前: 1 行 段后: 1 行 + 段前: 1 行 段后..."/>
    <w:basedOn w:val="Normal"/>
    <w:rsid w:val="00AC4F90"/>
    <w:pPr>
      <w:keepNext/>
      <w:keepLines/>
      <w:numPr>
        <w:ilvl w:val="1"/>
        <w:numId w:val="1"/>
      </w:numPr>
      <w:tabs>
        <w:tab w:val="left" w:pos="840"/>
      </w:tabs>
      <w:spacing w:before="447" w:after="447"/>
      <w:outlineLvl w:val="1"/>
    </w:pPr>
    <w:rPr>
      <w:rFonts w:ascii="Arial" w:hAnsi="Arial"/>
      <w:b/>
      <w:sz w:val="28"/>
    </w:rPr>
  </w:style>
  <w:style w:type="paragraph" w:styleId="Header">
    <w:name w:val="header"/>
    <w:basedOn w:val="Normal"/>
    <w:rsid w:val="00AC4F90"/>
    <w:pPr>
      <w:pBdr>
        <w:bottom w:val="single" w:sz="6" w:space="1" w:color="auto"/>
      </w:pBdr>
      <w:tabs>
        <w:tab w:val="center" w:pos="4153"/>
        <w:tab w:val="right" w:pos="8306"/>
      </w:tabs>
      <w:snapToGrid w:val="0"/>
      <w:jc w:val="center"/>
    </w:pPr>
    <w:rPr>
      <w:sz w:val="18"/>
    </w:rPr>
  </w:style>
  <w:style w:type="paragraph" w:styleId="Date">
    <w:name w:val="Date"/>
    <w:basedOn w:val="Normal"/>
    <w:next w:val="Normal"/>
    <w:rsid w:val="00AC4F90"/>
    <w:rPr>
      <w:sz w:val="24"/>
    </w:rPr>
  </w:style>
  <w:style w:type="paragraph" w:styleId="FootnoteText">
    <w:name w:val="footnote text"/>
    <w:basedOn w:val="Normal"/>
    <w:link w:val="a5"/>
    <w:rsid w:val="00AC4F90"/>
    <w:pPr>
      <w:snapToGrid w:val="0"/>
      <w:jc w:val="left"/>
    </w:pPr>
    <w:rPr>
      <w:sz w:val="18"/>
    </w:rPr>
  </w:style>
  <w:style w:type="paragraph" w:customStyle="1" w:styleId="xl30">
    <w:name w:val="xl30"/>
    <w:basedOn w:val="Normal"/>
    <w:rsid w:val="00AC4F90"/>
    <w:pPr>
      <w:widowControl/>
      <w:spacing w:before="100" w:beforeAutospacing="1" w:after="100" w:afterAutospacing="1"/>
      <w:jc w:val="right"/>
    </w:pPr>
    <w:rPr>
      <w:rFonts w:eastAsia="Arial Unicode MS"/>
      <w:kern w:val="0"/>
    </w:rPr>
  </w:style>
  <w:style w:type="paragraph" w:customStyle="1" w:styleId="Char1">
    <w:name w:val="Char1"/>
    <w:basedOn w:val="Normal"/>
    <w:rsid w:val="00AC4F90"/>
  </w:style>
  <w:style w:type="paragraph" w:customStyle="1" w:styleId="Default">
    <w:name w:val="Default"/>
    <w:rsid w:val="00AC4F90"/>
    <w:pPr>
      <w:widowControl w:val="0"/>
      <w:autoSpaceDE w:val="0"/>
      <w:autoSpaceDN w:val="0"/>
      <w:adjustRightInd w:val="0"/>
    </w:pPr>
    <w:rPr>
      <w:rFonts w:ascii="宋体"/>
      <w:color w:val="000000"/>
      <w:sz w:val="24"/>
    </w:rPr>
  </w:style>
  <w:style w:type="paragraph" w:styleId="CommentText">
    <w:name w:val="annotation text"/>
    <w:basedOn w:val="Normal"/>
    <w:link w:val="a0"/>
    <w:uiPriority w:val="99"/>
    <w:qFormat/>
    <w:rsid w:val="00AC4F90"/>
    <w:pPr>
      <w:jc w:val="left"/>
    </w:pPr>
  </w:style>
  <w:style w:type="paragraph" w:customStyle="1" w:styleId="xl31">
    <w:name w:val="xl31"/>
    <w:basedOn w:val="Normal"/>
    <w:rsid w:val="00AC4F90"/>
    <w:pPr>
      <w:widowControl/>
      <w:spacing w:before="100" w:beforeAutospacing="1" w:after="100" w:afterAutospacing="1"/>
      <w:jc w:val="center"/>
      <w:textAlignment w:val="center"/>
    </w:pPr>
    <w:rPr>
      <w:rFonts w:ascii="宋体" w:hAnsi="宋体"/>
      <w:kern w:val="0"/>
      <w:sz w:val="24"/>
    </w:rPr>
  </w:style>
  <w:style w:type="paragraph" w:styleId="BodyText">
    <w:name w:val="Body Text"/>
    <w:basedOn w:val="Normal"/>
    <w:link w:val="a"/>
    <w:rsid w:val="00AC4F90"/>
    <w:pPr>
      <w:adjustRightInd w:val="0"/>
      <w:snapToGrid w:val="0"/>
      <w:spacing w:line="324" w:lineRule="auto"/>
      <w:ind w:right="28"/>
      <w:jc w:val="left"/>
    </w:pPr>
    <w:rPr>
      <w:rFonts w:ascii="仿宋_GB2312" w:eastAsia="仿宋_GB2312"/>
      <w:kern w:val="0"/>
      <w:sz w:val="28"/>
    </w:rPr>
  </w:style>
  <w:style w:type="paragraph" w:styleId="Footer">
    <w:name w:val="footer"/>
    <w:basedOn w:val="Normal"/>
    <w:link w:val="a3"/>
    <w:uiPriority w:val="99"/>
    <w:rsid w:val="00AC4F90"/>
    <w:pPr>
      <w:tabs>
        <w:tab w:val="center" w:pos="4153"/>
        <w:tab w:val="right" w:pos="8306"/>
      </w:tabs>
      <w:snapToGrid w:val="0"/>
      <w:jc w:val="left"/>
    </w:pPr>
    <w:rPr>
      <w:sz w:val="18"/>
    </w:rPr>
  </w:style>
  <w:style w:type="paragraph" w:styleId="TOC2">
    <w:name w:val="toc 2"/>
    <w:basedOn w:val="Normal"/>
    <w:next w:val="Normal"/>
    <w:uiPriority w:val="39"/>
    <w:rsid w:val="00AC4F90"/>
    <w:pPr>
      <w:ind w:left="420" w:leftChars="200"/>
    </w:pPr>
  </w:style>
  <w:style w:type="table" w:styleId="TableGrid">
    <w:name w:val="Table Grid"/>
    <w:basedOn w:val="TableNormal"/>
    <w:rsid w:val="00D00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DC71A0"/>
    <w:pPr>
      <w:ind w:left="840" w:leftChars="400"/>
    </w:pPr>
    <w:rPr>
      <w:rFonts w:ascii="Calibri" w:hAnsi="Calibri"/>
      <w:szCs w:val="22"/>
    </w:rPr>
  </w:style>
  <w:style w:type="paragraph" w:styleId="TOC4">
    <w:name w:val="toc 4"/>
    <w:basedOn w:val="Normal"/>
    <w:next w:val="Normal"/>
    <w:autoRedefine/>
    <w:uiPriority w:val="39"/>
    <w:unhideWhenUsed/>
    <w:rsid w:val="00DC71A0"/>
    <w:pPr>
      <w:ind w:left="1260" w:leftChars="600"/>
    </w:pPr>
    <w:rPr>
      <w:rFonts w:ascii="Calibri" w:hAnsi="Calibri"/>
      <w:szCs w:val="22"/>
    </w:rPr>
  </w:style>
  <w:style w:type="paragraph" w:styleId="TOC5">
    <w:name w:val="toc 5"/>
    <w:basedOn w:val="Normal"/>
    <w:next w:val="Normal"/>
    <w:autoRedefine/>
    <w:uiPriority w:val="39"/>
    <w:unhideWhenUsed/>
    <w:rsid w:val="00DC71A0"/>
    <w:pPr>
      <w:ind w:left="1680" w:leftChars="800"/>
    </w:pPr>
    <w:rPr>
      <w:rFonts w:ascii="Calibri" w:hAnsi="Calibri"/>
      <w:szCs w:val="22"/>
    </w:rPr>
  </w:style>
  <w:style w:type="paragraph" w:styleId="TOC6">
    <w:name w:val="toc 6"/>
    <w:basedOn w:val="Normal"/>
    <w:next w:val="Normal"/>
    <w:autoRedefine/>
    <w:uiPriority w:val="39"/>
    <w:unhideWhenUsed/>
    <w:rsid w:val="00DC71A0"/>
    <w:pPr>
      <w:ind w:left="2100" w:leftChars="1000"/>
    </w:pPr>
    <w:rPr>
      <w:rFonts w:ascii="Calibri" w:hAnsi="Calibri"/>
      <w:szCs w:val="22"/>
    </w:rPr>
  </w:style>
  <w:style w:type="paragraph" w:styleId="TOC7">
    <w:name w:val="toc 7"/>
    <w:basedOn w:val="Normal"/>
    <w:next w:val="Normal"/>
    <w:autoRedefine/>
    <w:uiPriority w:val="39"/>
    <w:unhideWhenUsed/>
    <w:rsid w:val="00DC71A0"/>
    <w:pPr>
      <w:ind w:left="2520" w:leftChars="1200"/>
    </w:pPr>
    <w:rPr>
      <w:rFonts w:ascii="Calibri" w:hAnsi="Calibri"/>
      <w:szCs w:val="22"/>
    </w:rPr>
  </w:style>
  <w:style w:type="paragraph" w:styleId="TOC8">
    <w:name w:val="toc 8"/>
    <w:basedOn w:val="Normal"/>
    <w:next w:val="Normal"/>
    <w:autoRedefine/>
    <w:uiPriority w:val="39"/>
    <w:unhideWhenUsed/>
    <w:rsid w:val="00DC71A0"/>
    <w:pPr>
      <w:ind w:left="2940" w:leftChars="1400"/>
    </w:pPr>
    <w:rPr>
      <w:rFonts w:ascii="Calibri" w:hAnsi="Calibri"/>
      <w:szCs w:val="22"/>
    </w:rPr>
  </w:style>
  <w:style w:type="paragraph" w:styleId="TOC9">
    <w:name w:val="toc 9"/>
    <w:basedOn w:val="Normal"/>
    <w:next w:val="Normal"/>
    <w:autoRedefine/>
    <w:uiPriority w:val="39"/>
    <w:unhideWhenUsed/>
    <w:rsid w:val="00DC71A0"/>
    <w:pPr>
      <w:ind w:left="3360" w:leftChars="1600"/>
    </w:pPr>
    <w:rPr>
      <w:rFonts w:ascii="Calibri" w:hAnsi="Calibri"/>
      <w:szCs w:val="22"/>
    </w:rPr>
  </w:style>
  <w:style w:type="character" w:customStyle="1" w:styleId="10">
    <w:name w:val="标题 1 字符"/>
    <w:link w:val="Heading1"/>
    <w:rsid w:val="006515FF"/>
    <w:rPr>
      <w:b/>
      <w:kern w:val="44"/>
      <w:sz w:val="44"/>
    </w:rPr>
  </w:style>
  <w:style w:type="paragraph" w:styleId="ListParagraph">
    <w:name w:val="List Paragraph"/>
    <w:basedOn w:val="Normal"/>
    <w:uiPriority w:val="34"/>
    <w:qFormat/>
    <w:rsid w:val="008D034C"/>
    <w:pPr>
      <w:ind w:firstLine="420" w:firstLineChars="200"/>
    </w:pPr>
  </w:style>
  <w:style w:type="paragraph" w:styleId="Revision">
    <w:name w:val="Revision"/>
    <w:hidden/>
    <w:uiPriority w:val="71"/>
    <w:unhideWhenUsed/>
    <w:rsid w:val="0082197A"/>
    <w:rPr>
      <w:kern w:val="2"/>
      <w:sz w:val="21"/>
    </w:rPr>
  </w:style>
  <w:style w:type="paragraph" w:styleId="HTMLBottomofForm">
    <w:name w:val="HTML Bottom of Form"/>
    <w:basedOn w:val="Normal"/>
    <w:next w:val="Normal"/>
    <w:link w:val="z-"/>
    <w:hidden/>
    <w:uiPriority w:val="99"/>
    <w:semiHidden/>
    <w:unhideWhenUsed/>
    <w:rsid w:val="00F1715D"/>
    <w:pPr>
      <w:widowControl/>
      <w:pBdr>
        <w:top w:val="single" w:sz="6" w:space="1" w:color="auto"/>
      </w:pBdr>
      <w:jc w:val="center"/>
    </w:pPr>
    <w:rPr>
      <w:rFonts w:ascii="Arial" w:hAnsi="Arial"/>
      <w:vanish/>
      <w:kern w:val="0"/>
      <w:sz w:val="16"/>
      <w:szCs w:val="16"/>
    </w:rPr>
  </w:style>
  <w:style w:type="character" w:customStyle="1" w:styleId="z-">
    <w:name w:val="z-窗体底端 字符"/>
    <w:link w:val="HTMLBottomofForm"/>
    <w:uiPriority w:val="99"/>
    <w:semiHidden/>
    <w:rsid w:val="00F1715D"/>
    <w:rPr>
      <w:rFonts w:ascii="Arial" w:hAnsi="Arial" w:cs="Arial"/>
      <w:vanish/>
      <w:sz w:val="16"/>
      <w:szCs w:val="16"/>
    </w:rPr>
  </w:style>
  <w:style w:type="paragraph" w:customStyle="1" w:styleId="CharCharCharCharCharCharCharCharCharCharCharChar">
    <w:name w:val="Char Char Char Char Char Char Char Char Char Char Char Char"/>
    <w:basedOn w:val="Normal"/>
    <w:rsid w:val="00461210"/>
    <w:pPr>
      <w:widowControl/>
      <w:spacing w:after="160" w:line="240" w:lineRule="exact"/>
      <w:jc w:val="left"/>
    </w:pPr>
    <w:rPr>
      <w:rFonts w:ascii="Tahoma" w:hAnsi="Tahoma" w:cs="Tahoma"/>
      <w:szCs w:val="21"/>
    </w:rPr>
  </w:style>
  <w:style w:type="character" w:customStyle="1" w:styleId="a3">
    <w:name w:val="页脚 字符"/>
    <w:link w:val="Footer"/>
    <w:uiPriority w:val="99"/>
    <w:rsid w:val="001C68D8"/>
    <w:rPr>
      <w:kern w:val="2"/>
      <w:sz w:val="18"/>
    </w:rPr>
  </w:style>
  <w:style w:type="paragraph" w:customStyle="1" w:styleId="p0">
    <w:name w:val="p0"/>
    <w:basedOn w:val="Normal"/>
    <w:rsid w:val="006647E8"/>
    <w:pPr>
      <w:widowControl/>
      <w:spacing w:before="100" w:beforeAutospacing="1" w:after="100" w:afterAutospacing="1"/>
      <w:jc w:val="left"/>
    </w:pPr>
    <w:rPr>
      <w:rFonts w:ascii="宋体" w:hAnsi="宋体" w:cs="宋体"/>
      <w:kern w:val="0"/>
      <w:sz w:val="24"/>
      <w:szCs w:val="24"/>
    </w:rPr>
  </w:style>
  <w:style w:type="character" w:customStyle="1" w:styleId="Char10">
    <w:name w:val="批注文字 Char1"/>
    <w:uiPriority w:val="99"/>
    <w:semiHidden/>
    <w:rsid w:val="003B30D4"/>
  </w:style>
  <w:style w:type="paragraph" w:styleId="EndnoteText">
    <w:name w:val="endnote text"/>
    <w:basedOn w:val="Normal"/>
    <w:link w:val="a4"/>
    <w:semiHidden/>
    <w:unhideWhenUsed/>
    <w:rsid w:val="00983A08"/>
    <w:pPr>
      <w:snapToGrid w:val="0"/>
      <w:jc w:val="left"/>
    </w:pPr>
  </w:style>
  <w:style w:type="character" w:customStyle="1" w:styleId="a4">
    <w:name w:val="尾注文本 字符"/>
    <w:link w:val="EndnoteText"/>
    <w:semiHidden/>
    <w:rsid w:val="00983A08"/>
    <w:rPr>
      <w:kern w:val="2"/>
      <w:sz w:val="21"/>
    </w:rPr>
  </w:style>
  <w:style w:type="character" w:styleId="EndnoteReference">
    <w:name w:val="endnote reference"/>
    <w:semiHidden/>
    <w:unhideWhenUsed/>
    <w:rsid w:val="00983A08"/>
    <w:rPr>
      <w:vertAlign w:val="superscript"/>
    </w:rPr>
  </w:style>
  <w:style w:type="character" w:customStyle="1" w:styleId="11">
    <w:name w:val="批注文字 字符1"/>
    <w:rsid w:val="00120F3B"/>
    <w:rPr>
      <w:kern w:val="2"/>
      <w:sz w:val="21"/>
    </w:rPr>
  </w:style>
  <w:style w:type="character" w:customStyle="1" w:styleId="30">
    <w:name w:val="标题 3 字符"/>
    <w:basedOn w:val="DefaultParagraphFont"/>
    <w:link w:val="Heading3"/>
    <w:rsid w:val="00F6717A"/>
    <w:rPr>
      <w:rFonts w:ascii="宋体" w:hAnsi="宋体"/>
      <w:b/>
      <w:kern w:val="2"/>
      <w:sz w:val="26"/>
    </w:rPr>
  </w:style>
  <w:style w:type="character" w:customStyle="1" w:styleId="a5">
    <w:name w:val="脚注文本 字符"/>
    <w:link w:val="FootnoteText"/>
    <w:rsid w:val="008D77ED"/>
    <w:rPr>
      <w:kern w:val="2"/>
      <w:sz w:val="18"/>
    </w:rPr>
  </w:style>
  <w:style w:type="character" w:customStyle="1" w:styleId="2Char">
    <w:name w:val="标题 2 Char"/>
    <w:rsid w:val="00491CFA"/>
    <w:rPr>
      <w:rFonts w:ascii="Arial" w:eastAsia="黑体" w:hAnsi="Arial"/>
      <w:b/>
      <w:kern w:val="2"/>
      <w:sz w:val="32"/>
      <w:lang w:val="en-US" w:eastAsia="zh-CN"/>
    </w:rPr>
  </w:style>
  <w:style w:type="paragraph" w:customStyle="1" w:styleId="ccb">
    <w:name w:val="ccb正文"/>
    <w:basedOn w:val="Normal"/>
    <w:qFormat/>
    <w:rsid w:val="00436AFF"/>
    <w:pPr>
      <w:spacing w:line="360" w:lineRule="auto"/>
      <w:ind w:firstLine="560" w:firstLineChars="200"/>
    </w:pPr>
    <w:rPr>
      <w:rFonts w:ascii="彩虹小标宋" w:eastAsia="彩虹小标宋" w:hAnsi="宋体" w:cs="宋体"/>
      <w:color w:val="000000"/>
      <w:sz w:val="28"/>
      <w:szCs w:val="28"/>
    </w:rPr>
  </w:style>
  <w:style w:type="paragraph" w:customStyle="1" w:styleId="Normal0">
    <w:name w:val="Normal_0"/>
    <w:qFormat/>
    <w:pPr>
      <w:widowControl w:val="0"/>
      <w:jc w:val="both"/>
    </w:pPr>
    <w:rPr>
      <w:kern w:val="2"/>
      <w:sz w:val="21"/>
    </w:rPr>
  </w:style>
  <w:style w:type="paragraph" w:customStyle="1" w:styleId="Heading20">
    <w:name w:val="Heading 2_0"/>
    <w:basedOn w:val="Normal1"/>
    <w:next w:val="Normal1"/>
    <w:link w:val="200"/>
    <w:qFormat/>
    <w:rsid w:val="00EA25B3"/>
    <w:pPr>
      <w:keepNext/>
      <w:keepLines/>
      <w:spacing w:before="260" w:after="260" w:line="412" w:lineRule="auto"/>
      <w:outlineLvl w:val="1"/>
    </w:pPr>
    <w:rPr>
      <w:rFonts w:ascii="宋体" w:hAnsi="宋体" w:hint="eastAsia"/>
      <w:b/>
      <w:sz w:val="26"/>
    </w:rPr>
  </w:style>
  <w:style w:type="paragraph" w:customStyle="1" w:styleId="Normal1">
    <w:name w:val="Normal_1"/>
    <w:qFormat/>
    <w:rsid w:val="00EA25B3"/>
    <w:pPr>
      <w:widowControl w:val="0"/>
      <w:jc w:val="both"/>
    </w:pPr>
    <w:rPr>
      <w:kern w:val="2"/>
      <w:sz w:val="21"/>
    </w:rPr>
  </w:style>
  <w:style w:type="character" w:customStyle="1" w:styleId="200">
    <w:name w:val="标题 2 字符_0"/>
    <w:basedOn w:val="DefaultParagraphFont"/>
    <w:link w:val="Heading20"/>
    <w:rsid w:val="00EA25B3"/>
    <w:rPr>
      <w:rFonts w:ascii="宋体" w:eastAsia="宋体" w:hAnsi="宋体" w:cs="宋体" w:hint="eastAsia"/>
      <w:b/>
      <w:kern w:val="2"/>
      <w:sz w:val="26"/>
    </w:rPr>
  </w:style>
  <w:style w:type="paragraph" w:customStyle="1" w:styleId="Heading21">
    <w:name w:val="Heading 2_1"/>
    <w:basedOn w:val="Normal2"/>
    <w:next w:val="Normal2"/>
    <w:link w:val="21"/>
    <w:qFormat/>
    <w:rsid w:val="00916742"/>
    <w:pPr>
      <w:keepNext/>
      <w:keepLines/>
      <w:spacing w:before="260" w:after="260" w:line="413" w:lineRule="auto"/>
      <w:outlineLvl w:val="1"/>
    </w:pPr>
    <w:rPr>
      <w:rFonts w:ascii="宋体" w:hAnsi="宋体"/>
      <w:b/>
      <w:sz w:val="26"/>
      <w:szCs w:val="20"/>
    </w:rPr>
  </w:style>
  <w:style w:type="paragraph" w:customStyle="1" w:styleId="Normal2">
    <w:name w:val="Normal_2"/>
    <w:qFormat/>
    <w:rsid w:val="00DB6AAD"/>
    <w:pPr>
      <w:widowControl w:val="0"/>
      <w:jc w:val="both"/>
    </w:pPr>
    <w:rPr>
      <w:rFonts w:ascii="Calibri" w:hAnsi="Calibri"/>
      <w:kern w:val="2"/>
      <w:sz w:val="21"/>
      <w:szCs w:val="22"/>
    </w:rPr>
  </w:style>
  <w:style w:type="character" w:customStyle="1" w:styleId="21">
    <w:name w:val="标题 2 字符_1"/>
    <w:link w:val="Heading21"/>
    <w:rsid w:val="00916742"/>
    <w:rPr>
      <w:rFonts w:ascii="宋体" w:hAnsi="宋体"/>
      <w:b/>
      <w:kern w:val="2"/>
      <w:sz w:val="26"/>
    </w:rPr>
  </w:style>
  <w:style w:type="paragraph" w:customStyle="1" w:styleId="Heading22">
    <w:name w:val="Heading 2_2"/>
    <w:basedOn w:val="Normal3"/>
    <w:next w:val="Normal3"/>
    <w:link w:val="22"/>
    <w:qFormat/>
    <w:rsid w:val="00916742"/>
    <w:pPr>
      <w:keepNext/>
      <w:keepLines/>
      <w:spacing w:before="260" w:after="260" w:line="413" w:lineRule="auto"/>
      <w:outlineLvl w:val="1"/>
    </w:pPr>
    <w:rPr>
      <w:rFonts w:ascii="宋体" w:hAnsi="宋体"/>
      <w:b/>
      <w:sz w:val="26"/>
      <w:szCs w:val="20"/>
    </w:rPr>
  </w:style>
  <w:style w:type="paragraph" w:customStyle="1" w:styleId="Normal3">
    <w:name w:val="Normal_3"/>
    <w:qFormat/>
    <w:rsid w:val="00DB6AAD"/>
    <w:pPr>
      <w:widowControl w:val="0"/>
      <w:jc w:val="both"/>
    </w:pPr>
    <w:rPr>
      <w:rFonts w:ascii="Calibri" w:hAnsi="Calibri"/>
      <w:kern w:val="2"/>
      <w:sz w:val="21"/>
      <w:szCs w:val="22"/>
    </w:rPr>
  </w:style>
  <w:style w:type="character" w:customStyle="1" w:styleId="22">
    <w:name w:val="标题 2 字符_2"/>
    <w:link w:val="Heading22"/>
    <w:rsid w:val="00916742"/>
    <w:rPr>
      <w:rFonts w:ascii="宋体" w:hAnsi="宋体"/>
      <w:b/>
      <w:kern w:val="2"/>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no"?>
<Relationships xmlns="http://schemas.openxmlformats.org/package/2006/relationships">
<Relationship Id="rId1" Target="settings.xml" Type="http://schemas.openxmlformats.org/officeDocument/2006/relationships/settings"/>
<Relationship Id="rId10" Target="styles.xml" Type="http://schemas.openxmlformats.org/officeDocument/2006/relationships/styles"/>
<Relationship Id="rId2" Target="webSettings.xml" Type="http://schemas.openxmlformats.org/officeDocument/2006/relationships/webSettings"/>
<Relationship Id="rId3" Target="fontTable.xml" Type="http://schemas.openxmlformats.org/officeDocument/2006/relationships/fontTable"/>
<Relationship Id="rId4" Target="../customXml/item1.xml" Type="http://schemas.openxmlformats.org/officeDocument/2006/relationships/customXml"/>
<Relationship Id="rId5" Target="header1.xml" Type="http://schemas.openxmlformats.org/officeDocument/2006/relationships/header"/>
<Relationship Id="rId6" Target="footer1.xml" Type="http://schemas.openxmlformats.org/officeDocument/2006/relationships/footer"/>
<Relationship Id="rId7" Target="footer2.xml" Type="http://schemas.openxmlformats.org/officeDocument/2006/relationships/footer"/>
<Relationship Id="rId8" Target="theme/theme1.xml" Type="http://schemas.openxmlformats.org/officeDocument/2006/relationships/theme"/>
<Relationship Id="rId9" Target="numbering.xml" Type="http://schemas.openxmlformats.org/officeDocument/2006/relationships/numberi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99ABD-A3C3-4586-BF27-4A3E655D0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641</Words>
  <Characters>3656</Characters>
  <Application>Microsoft Office Word</Application>
  <DocSecurity>0</DocSecurity>
  <Lines>30</Lines>
  <Paragraphs>8</Paragraphs>
  <ScaleCrop>false</ScaleCrop>
  <Company>WwW.YlmF.CoM</Company>
  <LinksUpToDate>false</LinksUpToDate>
  <CharactersWithSpaces>4289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2025-03-24T08:24:00Z</dcterms:created>
  <dc:creator>CSRC</dc:creator>
  <cp:lastModifiedBy>胡伟</cp:lastModifiedBy>
  <cp:lastPrinted>2019-06-25T10:32:00Z</cp:lastPrinted>
  <dcterms:modified xsi:type="dcterms:W3CDTF">2025-03-24T08:24:00Z</dcterms:modified>
  <cp:revision>3</cp:revision>
  <dc:subject>非货币</dc:subject>
  <dc:title>证券投资基金信息披露XBRL标引规范第2号&lt;半年度报告摘要&gt;</dc:title>
</cp:coreProperties>
</file>