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招银理财招睿鑫鼎（中短债）180天持有期2号固定收益类理财计划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111372</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招银理财招睿鑫鼎（中短债）180天持有期2号固定收益类理财计划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本报告期自2024年05月29日起至2024年12月31日止。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111372</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招银理财招睿鑫鼎（中短债）180天持有期2号固定收益类理财计划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Z7001624000541</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11372HZ：业绩比较基准上限为3.50%，下限为2.30%;（本产品为净值型产品，业绩表现将随市场波动，具有不确定性。）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1,487,987,831.03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2024年05月29日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2034年05月29日（如遇非交易日顺延至下一交易日，或在理财计划存续期内理财产品管理人根据本产品说明书约定事由宣布提前或延期终止本理财计划之日。）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1,521,005,737.97</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，产品份额净值为1.0222元，产品份额累计净值为1.0222元。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 xml:space="preserve"> </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4.36%</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3.72%</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3.75%</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2024年05月29日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我国债券市场呈现牛市行情，资产荒依然为债市主线，宏观经济维持弱势叠加企业盈利改善偏缓导致居民维持较低的风险偏好，而同期信用债供给不足，尤其地产下行拖累地产债供给、城投严监管导致城投债供给下行，主要类型资管机构普遍欠配，机构多采用信用债打底+利率债波段的配置思路。年末债券收益下行进一步提速，市场先行启动降息预期交易，各期限利率普遍大幅下行，10Y国债触及1.6%创历史新低，全年债券延续牛市行情。</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报告期内产品坚持稳健投资理念，在收益率下行期间灵活调整久期，通过久期、杠杆和骑乘策略等提升产品收益。在严控主体资质和信用风险的前提下，筛选高性价比信用债，有效提升产品静态收益。同时整体加存款、回购等低波资产配置，降低市场波动对产品净值的影响。</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财政政策方面，中央明确释放托底信号后，财政释放出视情况持续加码的积极信号，市场主体预期有望探底回升，将对长端形成扰动。货币政策方面，央行预计仍将维持支持性的货币政策，2025年利率债供给增量较多，央行预计将通过买断式正回购、国债购入等措施维稳资金面。整体而言，预计债券收益率或将呈现区间震荡的特征，但是考虑到经济修复或将维持波浪式特征，债券收益率在经济实质复苏前上行压力可控。</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短期来看，中短端确定性更高、有一定配置价值，产品将积极把握时机加大中短期信用债、存单等配置，同时在当前整体静态收益不高的环境下，减少信用下沉、严控信用风险。长端利率维持震荡，可少量参与波段交易。在市场波动加大的环境下，增加存款、回购等低波资产配置，降低市场波动对产品净值的影响。</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111,864,621.38</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107,837,869.54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1、本产品投资于关联方发行管理的资管产品，应付管理费702.82元；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2、报告期内，本产品向招商银行股份有限公司实付托管费用47,645.84元。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23,279,255.04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44,008,719.98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2.89</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354,281,782.85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23.22</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33,179,463.95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2.17</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80,005,988.23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5.26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126,249,680.72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8.28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544,756,609.04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35.81</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875,151,378.08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57.37</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36,681,669.72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2.40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100,021,456.36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6.56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852,618,640.87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56.04</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1,521,389,958.12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1,525,565,431.68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定期存款1240649710102001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62,136,540.76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定期存款1240649710104002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51,825,992.60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3.41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定期存款122008540002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40,582,444.40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2.67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定期存款12200854001000001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40,261,174.62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2.65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22工行二级资本债04A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22,802,603.25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1.50</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24中建投资MTN003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20,578,467.95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21东华优</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19,561,114.29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1.29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24中信银行永续债01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16,995,159.11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22渝康资产MTN001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15,598,911.07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24平安银行永续债01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13,488,149.16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0.89</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招银理财招睿鑫鼎（中短债）180天持有期2号固定收益类理财计划2024年年度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111372</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